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er+xml" PartName="/word/footer5.xml"/>
  <Override ContentType="application/vnd.openxmlformats-officedocument.wordprocessingml.footer+xml" PartName="/word/footer7.xml"/>
  <Override ContentType="application/vnd.openxmlformats-officedocument.wordprocessingml.header+xml" PartName="/word/header1.xml"/>
  <Override ContentType="application/vnd.openxmlformats-officedocument.wordprocessingml.header+xml" PartName="/word/header4.xml"/>
  <Override ContentType="application/vnd.openxmlformats-officedocument.wordprocessingml.header+xml" PartName="/word/header6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10000000">
      <w:pPr>
        <w:ind/>
        <w:jc w:val="center"/>
        <w:rPr>
          <w:rFonts w:ascii="Times New Roman" w:hAnsi="Times New Roman"/>
          <w:sz w:val="24"/>
        </w:rPr>
      </w:pPr>
    </w:p>
    <w:p w14:paraId="11000000">
      <w:pPr>
        <w:sectPr>
          <w:headerReference r:id="rId4" w:type="default"/>
          <w:footerReference r:id="rId3" w:type="first"/>
          <w:footerReference r:id="rId5" w:type="default"/>
          <w:pgSz w:h="16838" w:orient="portrait" w:w="11906"/>
          <w:pgMar w:bottom="1134" w:footer="295" w:gutter="0" w:header="142" w:left="1134" w:right="851" w:top="1134"/>
          <w:titlePg/>
        </w:sectPr>
      </w:pPr>
    </w:p>
    <w:p w14:paraId="12000000">
      <w:pPr>
        <w:rPr>
          <w:rFonts w:ascii="Times New Roman" w:hAnsi="Times New Roman"/>
          <w:sz w:val="24"/>
        </w:rPr>
      </w:pPr>
    </w:p>
    <w:p w14:paraId="13000000">
      <w:pPr>
        <w:rPr>
          <w:rFonts w:ascii="Times New Roman" w:hAnsi="Times New Roman"/>
          <w:sz w:val="24"/>
        </w:rPr>
      </w:pPr>
    </w:p>
    <w:tbl>
      <w:tblPr>
        <w:tblStyle w:val="Style_4"/>
        <w:tblInd w:type="dxa" w:w="-572"/>
        <w:tblLayout w:type="fixed"/>
        <w:tblCellMar>
          <w:top w:type="dxa" w:w="14"/>
          <w:left w:type="dxa" w:w="106"/>
          <w:right w:type="dxa" w:w="115"/>
        </w:tblCellMar>
      </w:tblPr>
      <w:tblGrid>
        <w:gridCol w:w="3258"/>
        <w:gridCol w:w="569"/>
        <w:gridCol w:w="5949"/>
        <w:gridCol w:w="153"/>
        <w:gridCol w:w="2970"/>
        <w:gridCol w:w="147"/>
        <w:gridCol w:w="2273"/>
      </w:tblGrid>
      <w:tr>
        <w:trPr>
          <w:trHeight w:hRule="atLeast" w:val="288"/>
        </w:trPr>
        <w:tc>
          <w:tcPr>
            <w:tcW w:type="dxa" w:w="13046"/>
            <w:gridSpan w:val="6"/>
            <w:tcBorders>
              <w:top w:color="000000" w:sz="4" w:val="single"/>
              <w:left w:color="000000" w:sz="4" w:val="single"/>
              <w:bottom w:color="000000" w:sz="4" w:val="single"/>
              <w:right w:sz="4" w:val="nil"/>
            </w:tcBorders>
            <w:tcMar>
              <w:top w:type="dxa" w:w="14"/>
              <w:left w:type="dxa" w:w="106"/>
              <w:right w:type="dxa" w:w="115"/>
            </w:tcMar>
          </w:tcPr>
          <w:p w14:paraId="14000000">
            <w:pPr>
              <w:ind w:firstLine="0" w:left="2274"/>
              <w:jc w:val="center"/>
              <w:rPr>
                <w:rFonts w:ascii="Calibri" w:hAnsi="Calibri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Технологическая карта №101</w:t>
            </w:r>
          </w:p>
        </w:tc>
        <w:tc>
          <w:tcPr>
            <w:tcW w:type="dxa" w:w="2273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15000000">
            <w:pPr>
              <w:rPr>
                <w:rFonts w:ascii="Calibri" w:hAnsi="Calibri"/>
              </w:rPr>
            </w:pPr>
          </w:p>
        </w:tc>
      </w:tr>
      <w:tr>
        <w:trPr>
          <w:trHeight w:hRule="atLeast" w:val="286"/>
        </w:trPr>
        <w:tc>
          <w:tcPr>
            <w:tcW w:type="dxa" w:w="325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16000000">
            <w:pPr>
              <w:ind w:firstLine="0" w:left="116"/>
              <w:rPr>
                <w:rFonts w:ascii="Calibri" w:hAnsi="Calibri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К РО вертолета МИ-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 </w:t>
            </w:r>
          </w:p>
        </w:tc>
        <w:tc>
          <w:tcPr>
            <w:tcW w:type="dxa" w:w="651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17000000">
            <w:pPr>
              <w:ind w:firstLine="0" w:left="7"/>
              <w:jc w:val="center"/>
              <w:rPr>
                <w:rFonts w:ascii="Calibri" w:hAnsi="Calibri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Замена синхронизатора оборотов НР-40</w:t>
            </w:r>
          </w:p>
        </w:tc>
        <w:tc>
          <w:tcPr>
            <w:tcW w:type="dxa" w:w="3270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18000000">
            <w:pPr>
              <w:ind w:firstLine="0" w:left="70"/>
              <w:rPr>
                <w:rFonts w:ascii="Calibri" w:hAnsi="Calibri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Трудоемкость – 1 чел/час </w:t>
            </w:r>
          </w:p>
        </w:tc>
        <w:tc>
          <w:tcPr>
            <w:tcW w:type="dxa" w:w="22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19000000">
            <w:pPr>
              <w:ind/>
              <w:jc w:val="center"/>
              <w:rPr>
                <w:rFonts w:ascii="Calibri" w:hAnsi="Calibri"/>
              </w:rPr>
            </w:pPr>
          </w:p>
        </w:tc>
      </w:tr>
      <w:tr>
        <w:trPr>
          <w:trHeight w:hRule="atLeast" w:val="562"/>
        </w:trPr>
        <w:tc>
          <w:tcPr>
            <w:tcW w:type="dxa" w:w="325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1A000000">
            <w:pPr>
              <w:ind w:firstLine="0" w:left="12"/>
              <w:jc w:val="center"/>
              <w:rPr>
                <w:rFonts w:ascii="Calibri" w:hAnsi="Calibri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Операция </w:t>
            </w:r>
          </w:p>
        </w:tc>
        <w:tc>
          <w:tcPr>
            <w:tcW w:type="dxa" w:w="651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1B000000">
            <w:pPr>
              <w:ind w:firstLine="0" w:left="6"/>
              <w:jc w:val="center"/>
              <w:rPr>
                <w:rFonts w:ascii="Calibri" w:hAnsi="Calibri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Технические требования </w:t>
            </w:r>
          </w:p>
        </w:tc>
        <w:tc>
          <w:tcPr>
            <w:tcW w:type="dxa" w:w="3270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1C000000">
            <w:pPr>
              <w:ind w:firstLine="0" w:left="8"/>
              <w:jc w:val="center"/>
              <w:rPr>
                <w:rFonts w:ascii="Calibri" w:hAnsi="Calibri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Работы, выполняемые при отклонениях от ТК </w:t>
            </w:r>
          </w:p>
        </w:tc>
        <w:tc>
          <w:tcPr>
            <w:tcW w:type="dxa" w:w="22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1D000000">
            <w:pPr>
              <w:ind/>
              <w:jc w:val="center"/>
              <w:rPr>
                <w:rFonts w:ascii="Times New Roman" w:hAnsi="Times New Roman"/>
                <w:b w:val="1"/>
                <w:color w:val="000000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Отметка о выполнении </w:t>
            </w:r>
          </w:p>
          <w:p w14:paraId="1E000000">
            <w:pPr>
              <w:ind/>
              <w:jc w:val="center"/>
              <w:rPr>
                <w:rFonts w:ascii="Calibri" w:hAnsi="Calibri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>дата,подпись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>)</w:t>
            </w:r>
          </w:p>
        </w:tc>
      </w:tr>
      <w:tr>
        <w:trPr>
          <w:trHeight w:hRule="atLeast" w:val="286"/>
        </w:trPr>
        <w:tc>
          <w:tcPr>
            <w:tcW w:type="dxa" w:w="325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1F000000">
            <w:pPr>
              <w:ind w:firstLine="0" w:left="8"/>
              <w:jc w:val="center"/>
              <w:rPr>
                <w:rFonts w:ascii="Calibri" w:hAnsi="Calibri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1 </w:t>
            </w:r>
          </w:p>
        </w:tc>
        <w:tc>
          <w:tcPr>
            <w:tcW w:type="dxa" w:w="651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20000000">
            <w:pPr>
              <w:ind/>
              <w:jc w:val="center"/>
              <w:rPr>
                <w:rFonts w:ascii="Calibri" w:hAnsi="Calibri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2 </w:t>
            </w:r>
          </w:p>
        </w:tc>
        <w:tc>
          <w:tcPr>
            <w:tcW w:type="dxa" w:w="3270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21000000">
            <w:pPr>
              <w:ind w:firstLine="0" w:left="2"/>
              <w:jc w:val="center"/>
              <w:rPr>
                <w:rFonts w:ascii="Calibri" w:hAnsi="Calibri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3 </w:t>
            </w:r>
          </w:p>
        </w:tc>
        <w:tc>
          <w:tcPr>
            <w:tcW w:type="dxa" w:w="22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22000000">
            <w:pPr>
              <w:ind w:firstLine="0" w:left="7"/>
              <w:jc w:val="center"/>
              <w:rPr>
                <w:rFonts w:ascii="Calibri" w:hAnsi="Calibri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4 </w:t>
            </w:r>
          </w:p>
        </w:tc>
      </w:tr>
      <w:tr>
        <w:trPr>
          <w:trHeight w:hRule="atLeast" w:val="367"/>
        </w:trPr>
        <w:tc>
          <w:tcPr>
            <w:tcW w:type="dxa" w:w="13046"/>
            <w:gridSpan w:val="6"/>
            <w:tcBorders>
              <w:top w:color="000000" w:sz="4" w:val="single"/>
              <w:left w:color="000000" w:sz="4" w:val="single"/>
              <w:bottom w:color="000000" w:sz="4" w:val="single"/>
              <w:right w:sz="4" w:val="nil"/>
            </w:tcBorders>
            <w:tcMar>
              <w:top w:type="dxa" w:w="14"/>
              <w:left w:type="dxa" w:w="106"/>
              <w:right w:type="dxa" w:w="115"/>
            </w:tcMar>
          </w:tcPr>
          <w:p w14:paraId="23000000">
            <w:pPr>
              <w:ind w:firstLine="0" w:left="3"/>
              <w:rPr>
                <w:rFonts w:ascii="Calibri" w:hAnsi="Calibri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1.</w:t>
            </w:r>
            <w:r>
              <w:rPr>
                <w:rFonts w:ascii="Arial" w:hAnsi="Arial"/>
                <w:b w:val="1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Подготовка </w:t>
            </w:r>
          </w:p>
        </w:tc>
        <w:tc>
          <w:tcPr>
            <w:tcW w:type="dxa" w:w="2273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24000000">
            <w:pPr>
              <w:ind w:right="195"/>
              <w:rPr>
                <w:rFonts w:ascii="Calibri" w:hAnsi="Calibri"/>
              </w:rPr>
            </w:pPr>
          </w:p>
        </w:tc>
      </w:tr>
      <w:tr>
        <w:trPr>
          <w:trHeight w:hRule="atLeast" w:val="562"/>
        </w:trPr>
        <w:tc>
          <w:tcPr>
            <w:tcW w:type="dxa" w:w="325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25000000">
            <w:pPr>
              <w:ind w:firstLine="0" w:left="3"/>
              <w:rPr>
                <w:rFonts w:ascii="Calibri" w:hAnsi="Calibri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Зона выполнения работ </w:t>
            </w:r>
          </w:p>
        </w:tc>
        <w:tc>
          <w:tcPr>
            <w:tcW w:type="dxa" w:w="651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26000000">
            <w:pPr>
              <w:ind w:firstLine="0" w:left="2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Осмотреть, убедиться в чистоте, отсутствии посторонних предметов, течей </w:t>
            </w:r>
          </w:p>
          <w:p w14:paraId="27000000">
            <w:pPr>
              <w:ind w:firstLine="0" w:left="2"/>
              <w:rPr>
                <w:rFonts w:ascii="Calibri" w:hAnsi="Calibri"/>
              </w:rPr>
            </w:pPr>
          </w:p>
        </w:tc>
        <w:tc>
          <w:tcPr>
            <w:tcW w:type="dxa" w:w="3270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28000000">
            <w:pPr>
              <w:rPr>
                <w:rFonts w:ascii="Calibri" w:hAnsi="Calibri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type="dxa" w:w="22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29000000">
            <w:pPr>
              <w:ind w:firstLine="0" w:left="2"/>
              <w:rPr>
                <w:rFonts w:ascii="Calibri" w:hAnsi="Calibri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>
        <w:trPr>
          <w:trHeight w:hRule="atLeast" w:val="494"/>
        </w:trPr>
        <w:tc>
          <w:tcPr>
            <w:tcW w:type="dxa" w:w="325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2A000000">
            <w:pPr>
              <w:ind w:firstLine="0" w:left="3"/>
              <w:rPr>
                <w:rFonts w:ascii="Calibri" w:hAnsi="Calibri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НР-40; </w:t>
            </w:r>
          </w:p>
        </w:tc>
        <w:tc>
          <w:tcPr>
            <w:tcW w:type="dxa" w:w="651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2B000000">
            <w:pPr>
              <w:ind w:firstLine="0" w:left="2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Осмотреть, проверить на отсутствие неисправностей. </w:t>
            </w:r>
          </w:p>
          <w:p w14:paraId="2C000000">
            <w:pPr>
              <w:ind w:firstLine="0" w:left="2"/>
              <w:rPr>
                <w:rFonts w:ascii="Times New Roman" w:hAnsi="Times New Roman"/>
                <w:color w:val="000000"/>
                <w:sz w:val="24"/>
              </w:rPr>
            </w:pPr>
          </w:p>
          <w:p w14:paraId="2D000000">
            <w:pPr>
              <w:numPr>
                <w:ilvl w:val="0"/>
                <w:numId w:val="1"/>
              </w:numPr>
              <w:ind/>
              <w:contextualSpacing w:val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Агрегат</w:t>
            </w:r>
          </w:p>
          <w:p w14:paraId="2E000000">
            <w:pPr>
              <w:ind w:firstLine="0" w:left="362"/>
              <w:contextualSpacing w:val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 агрегате не должно быть забоин вмятин, коррозии, отслоения краски. </w:t>
            </w:r>
          </w:p>
          <w:p w14:paraId="2F000000">
            <w:pPr>
              <w:ind w:firstLine="0" w:left="362"/>
              <w:contextualSpacing w:val="1"/>
              <w:rPr>
                <w:rFonts w:ascii="Times New Roman" w:hAnsi="Times New Roman"/>
                <w:color w:val="000000"/>
                <w:sz w:val="24"/>
              </w:rPr>
            </w:pPr>
          </w:p>
          <w:p w14:paraId="30000000">
            <w:pPr>
              <w:numPr>
                <w:ilvl w:val="0"/>
                <w:numId w:val="1"/>
              </w:numPr>
              <w:ind/>
              <w:contextualSpacing w:val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</w:p>
          <w:p w14:paraId="31000000">
            <w:pPr>
              <w:ind w:firstLine="0" w:left="362"/>
              <w:contextualSpacing w:val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Нарушение контровки штуцеров, заглушек, гаек. </w:t>
            </w:r>
          </w:p>
          <w:p w14:paraId="32000000">
            <w:pPr>
              <w:ind w:firstLine="0" w:left="2"/>
              <w:rPr>
                <w:rFonts w:ascii="Calibri" w:hAnsi="Calibri"/>
              </w:rPr>
            </w:pPr>
          </w:p>
        </w:tc>
        <w:tc>
          <w:tcPr>
            <w:tcW w:type="dxa" w:w="3270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33000000">
            <w:pPr>
              <w:rPr>
                <w:rFonts w:ascii="Calibri" w:hAnsi="Calibri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type="dxa" w:w="22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34000000">
            <w:pPr>
              <w:ind w:firstLine="0" w:left="2"/>
              <w:rPr>
                <w:rFonts w:ascii="Calibri" w:hAnsi="Calibri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>
        <w:trPr>
          <w:trHeight w:hRule="atLeast" w:val="286"/>
        </w:trPr>
        <w:tc>
          <w:tcPr>
            <w:tcW w:type="dxa" w:w="325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35000000">
            <w:pPr>
              <w:ind w:firstLine="0" w:left="3"/>
              <w:rPr>
                <w:rFonts w:ascii="Calibri" w:hAnsi="Calibri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Отчет о неисправностях </w:t>
            </w:r>
          </w:p>
        </w:tc>
        <w:tc>
          <w:tcPr>
            <w:tcW w:type="dxa" w:w="651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36000000">
            <w:pPr>
              <w:ind w:firstLine="0" w:left="2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Оформить бланк «Ведомость дефектов». Передать бланк эксперту. </w:t>
            </w:r>
          </w:p>
          <w:p w14:paraId="37000000">
            <w:pPr>
              <w:ind w:firstLine="0" w:left="2"/>
              <w:rPr>
                <w:rFonts w:ascii="Calibri" w:hAnsi="Calibri"/>
              </w:rPr>
            </w:pPr>
          </w:p>
        </w:tc>
        <w:tc>
          <w:tcPr>
            <w:tcW w:type="dxa" w:w="3270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38000000">
            <w:pPr>
              <w:rPr>
                <w:rFonts w:ascii="Calibri" w:hAnsi="Calibri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type="dxa" w:w="22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39000000">
            <w:pPr>
              <w:ind w:firstLine="0" w:left="2"/>
              <w:rPr>
                <w:rFonts w:ascii="Calibri" w:hAnsi="Calibri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>
        <w:trPr>
          <w:trHeight w:hRule="atLeast" w:val="1006"/>
        </w:trPr>
        <w:tc>
          <w:tcPr>
            <w:tcW w:type="dxa" w:w="325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3A000000">
            <w:pPr>
              <w:ind w:firstLine="0" w:left="2"/>
              <w:rPr>
                <w:rFonts w:ascii="Calibri" w:hAnsi="Calibri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Трубопроводы воздушной системы</w:t>
            </w:r>
            <w:r>
              <w:rPr>
                <w:rFonts w:ascii="Calibri" w:hAnsi="Calibri"/>
              </w:rPr>
              <w:t xml:space="preserve"> </w:t>
            </w:r>
          </w:p>
        </w:tc>
        <w:tc>
          <w:tcPr>
            <w:tcW w:type="dxa" w:w="651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3B000000">
            <w:pPr>
              <w:ind w:firstLine="0" w:left="2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Убедитесь в отсутствии давления в трубопроводах.</w:t>
            </w:r>
          </w:p>
          <w:p w14:paraId="3C000000">
            <w:pPr>
              <w:ind w:firstLine="0" w:left="2"/>
              <w:rPr>
                <w:rFonts w:ascii="Calibri" w:hAnsi="Calibri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Выставить предупреждающий знак. </w:t>
            </w:r>
          </w:p>
        </w:tc>
        <w:tc>
          <w:tcPr>
            <w:tcW w:type="dxa" w:w="3270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3D000000">
            <w:pPr>
              <w:rPr>
                <w:rFonts w:ascii="Calibri" w:hAnsi="Calibri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Получите подтверждение оценивающего эксперта.</w:t>
            </w:r>
          </w:p>
        </w:tc>
        <w:tc>
          <w:tcPr>
            <w:tcW w:type="dxa" w:w="22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3E000000">
            <w:pPr>
              <w:ind w:firstLine="0" w:left="2"/>
              <w:rPr>
                <w:rFonts w:ascii="Calibri" w:hAnsi="Calibri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>
        <w:trPr>
          <w:trHeight w:hRule="atLeast" w:val="1114"/>
        </w:trPr>
        <w:tc>
          <w:tcPr>
            <w:tcW w:type="dxa" w:w="13046"/>
            <w:gridSpan w:val="6"/>
            <w:tcBorders>
              <w:top w:color="000000" w:sz="4" w:val="single"/>
              <w:left w:color="000000" w:sz="4" w:val="single"/>
              <w:bottom w:color="000000" w:sz="4" w:val="single"/>
              <w:right w:sz="4" w:val="nil"/>
            </w:tcBorders>
            <w:tcMar>
              <w:top w:type="dxa" w:w="14"/>
              <w:left w:type="dxa" w:w="106"/>
              <w:right w:type="dxa" w:w="115"/>
            </w:tcMar>
          </w:tcPr>
          <w:p w14:paraId="3F000000">
            <w:pPr>
              <w:spacing w:after="21"/>
              <w:ind w:firstLine="0" w:left="3"/>
              <w:rPr>
                <w:rFonts w:ascii="Times New Roman" w:hAnsi="Times New Roman"/>
                <w:b w:val="1"/>
                <w:color w:val="000000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ПРИМЕЧАНИЕ: </w:t>
            </w:r>
          </w:p>
          <w:p w14:paraId="40000000">
            <w:pPr>
              <w:numPr>
                <w:ilvl w:val="0"/>
                <w:numId w:val="2"/>
              </w:numPr>
              <w:spacing w:after="23"/>
              <w:ind/>
              <w:rPr>
                <w:rFonts w:ascii="Calibri" w:hAnsi="Calibri"/>
                <w:b w:val="1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Демонтаж НР-40 разрешается производить не раньше, чем через 15 минут после останова двигателя </w:t>
            </w:r>
          </w:p>
          <w:p w14:paraId="41000000">
            <w:pPr>
              <w:numPr>
                <w:ilvl w:val="0"/>
                <w:numId w:val="2"/>
              </w:numPr>
              <w:spacing w:after="23"/>
              <w:ind/>
              <w:rPr>
                <w:rFonts w:ascii="Calibri" w:hAnsi="Calibri"/>
                <w:b w:val="1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Дефекты, обнаруженные в процессе работы внести в бланк «Ведомость дефектов 2» этого агрегата. </w:t>
            </w:r>
          </w:p>
          <w:p w14:paraId="42000000">
            <w:pPr>
              <w:numPr>
                <w:ilvl w:val="0"/>
                <w:numId w:val="2"/>
              </w:numPr>
              <w:rPr>
                <w:rFonts w:ascii="Calibri" w:hAnsi="Calibri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Соблюдать общие требования при выполнении демонтажа, изложенные в Главе 7 Раздел 2 стр. 706 «Правила замены агрегатов» Инструкции по эксплуатации и ТО двигателя ГТД 350</w:t>
            </w:r>
          </w:p>
        </w:tc>
        <w:tc>
          <w:tcPr>
            <w:tcW w:type="dxa" w:w="2273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43000000">
            <w:pPr>
              <w:rPr>
                <w:rFonts w:ascii="Calibri" w:hAnsi="Calibri"/>
              </w:rPr>
            </w:pPr>
          </w:p>
        </w:tc>
      </w:tr>
      <w:tr>
        <w:trPr>
          <w:trHeight w:hRule="atLeast" w:val="365"/>
        </w:trPr>
        <w:tc>
          <w:tcPr>
            <w:tcW w:type="dxa" w:w="382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44000000">
            <w:pPr>
              <w:ind w:firstLine="0" w:left="399"/>
              <w:jc w:val="center"/>
              <w:rPr>
                <w:rFonts w:ascii="Calibri" w:hAnsi="Calibri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1 </w:t>
            </w:r>
          </w:p>
        </w:tc>
        <w:tc>
          <w:tcPr>
            <w:tcW w:type="dxa" w:w="610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45000000">
            <w:pPr>
              <w:ind w:firstLine="0" w:left="394"/>
              <w:jc w:val="center"/>
              <w:rPr>
                <w:rFonts w:ascii="Calibri" w:hAnsi="Calibri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2 </w:t>
            </w:r>
          </w:p>
        </w:tc>
        <w:tc>
          <w:tcPr>
            <w:tcW w:type="dxa" w:w="29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46000000">
            <w:pPr>
              <w:ind w:firstLine="0" w:left="393"/>
              <w:jc w:val="center"/>
              <w:rPr>
                <w:rFonts w:ascii="Calibri" w:hAnsi="Calibri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3 </w:t>
            </w:r>
          </w:p>
        </w:tc>
        <w:tc>
          <w:tcPr>
            <w:tcW w:type="dxa" w:w="2420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7" w:val="single"/>
            </w:tcBorders>
            <w:tcMar>
              <w:top w:type="dxa" w:w="14"/>
              <w:left w:type="dxa" w:w="106"/>
              <w:right w:type="dxa" w:w="115"/>
            </w:tcMar>
          </w:tcPr>
          <w:p w14:paraId="47000000">
            <w:pPr>
              <w:ind w:firstLine="0" w:left="393"/>
              <w:jc w:val="center"/>
              <w:rPr>
                <w:rFonts w:ascii="Calibri" w:hAnsi="Calibri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4 </w:t>
            </w:r>
          </w:p>
        </w:tc>
      </w:tr>
      <w:tr>
        <w:trPr>
          <w:trHeight w:hRule="atLeast" w:val="367"/>
        </w:trPr>
        <w:tc>
          <w:tcPr>
            <w:tcW w:type="dxa" w:w="15319"/>
            <w:gridSpan w:val="7"/>
            <w:tcBorders>
              <w:top w:color="000000" w:sz="4" w:val="single"/>
              <w:left w:color="000000" w:sz="4" w:val="single"/>
              <w:bottom w:color="000000" w:sz="4" w:val="single"/>
              <w:right w:color="000000" w:sz="7" w:val="single"/>
            </w:tcBorders>
            <w:tcMar>
              <w:top w:type="dxa" w:w="14"/>
              <w:left w:type="dxa" w:w="106"/>
              <w:right w:type="dxa" w:w="115"/>
            </w:tcMar>
          </w:tcPr>
          <w:p w14:paraId="48000000">
            <w:pPr>
              <w:ind w:firstLine="0" w:left="2"/>
              <w:rPr>
                <w:rFonts w:ascii="Calibri" w:hAnsi="Calibri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2.</w:t>
            </w:r>
            <w:r>
              <w:rPr>
                <w:rFonts w:ascii="Arial" w:hAnsi="Arial"/>
                <w:b w:val="1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Демонтаж </w:t>
            </w:r>
          </w:p>
        </w:tc>
      </w:tr>
      <w:tr>
        <w:trPr>
          <w:trHeight w:hRule="atLeast" w:val="641"/>
        </w:trPr>
        <w:tc>
          <w:tcPr>
            <w:tcW w:type="dxa" w:w="15319"/>
            <w:gridSpan w:val="7"/>
            <w:tcBorders>
              <w:top w:color="000000" w:sz="4" w:val="single"/>
              <w:left w:color="000000" w:sz="4" w:val="single"/>
              <w:bottom w:color="000000" w:sz="4" w:val="single"/>
              <w:right w:color="000000" w:sz="7" w:val="single"/>
            </w:tcBorders>
            <w:tcMar>
              <w:top w:type="dxa" w:w="14"/>
              <w:left w:type="dxa" w:w="106"/>
              <w:right w:type="dxa" w:w="115"/>
            </w:tcMar>
          </w:tcPr>
          <w:p w14:paraId="49000000">
            <w:pPr>
              <w:ind w:firstLine="0" w:left="31"/>
              <w:rPr>
                <w:rFonts w:ascii="Times New Roman" w:hAnsi="Times New Roman"/>
                <w:b w:val="1"/>
                <w:color w:val="000000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  <w:u w:color="000000" w:val="single"/>
              </w:rPr>
              <w:t>Примечание.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 </w:t>
            </w:r>
          </w:p>
          <w:p w14:paraId="4A000000">
            <w:pPr>
              <w:ind w:firstLine="0" w:left="3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Необходимо следить за тем, чтобы все крепежные болты и гайки хранились комплектами, во избежание несоответствий при повторном монтаже.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>
        <w:trPr>
          <w:trHeight w:hRule="atLeast" w:val="641"/>
        </w:trPr>
        <w:tc>
          <w:tcPr>
            <w:tcW w:type="dxa" w:w="382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7" w:val="single"/>
            </w:tcBorders>
            <w:tcMar>
              <w:top w:type="dxa" w:w="14"/>
              <w:left w:type="dxa" w:w="106"/>
              <w:right w:type="dxa" w:w="115"/>
            </w:tcMar>
          </w:tcPr>
          <w:p w14:paraId="4B000000">
            <w:pPr>
              <w:ind w:firstLine="0" w:left="2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Тяги управления насосом-регулятором</w:t>
            </w:r>
          </w:p>
        </w:tc>
        <w:tc>
          <w:tcPr>
            <w:tcW w:type="dxa" w:w="610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7" w:val="single"/>
            </w:tcBorders>
            <w:tcMar>
              <w:top w:type="dxa" w:w="14"/>
              <w:left w:type="dxa" w:w="106"/>
              <w:right w:type="dxa" w:w="115"/>
            </w:tcMar>
          </w:tcPr>
          <w:p w14:paraId="4C000000">
            <w:pPr>
              <w:ind w:firstLine="0" w:left="2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Отстыковать от рычагов на насосе-регуляторе</w:t>
            </w:r>
          </w:p>
        </w:tc>
        <w:tc>
          <w:tcPr>
            <w:tcW w:type="dxa" w:w="2970"/>
            <w:tcBorders>
              <w:top w:color="000000" w:sz="4" w:val="single"/>
              <w:left w:color="000000" w:sz="4" w:val="single"/>
              <w:bottom w:color="000000" w:sz="4" w:val="single"/>
              <w:right w:color="000000" w:sz="7" w:val="single"/>
            </w:tcBorders>
            <w:tcMar>
              <w:top w:type="dxa" w:w="14"/>
              <w:left w:type="dxa" w:w="106"/>
              <w:right w:type="dxa" w:w="115"/>
            </w:tcMar>
          </w:tcPr>
          <w:p w14:paraId="4D000000">
            <w:pPr>
              <w:rPr>
                <w:rFonts w:ascii="Times New Roman" w:hAnsi="Times New Roman"/>
                <w:b w:val="1"/>
                <w:color w:val="000000"/>
                <w:sz w:val="24"/>
                <w:u w:color="000000" w:val="single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 случае, если тяги отстыкованы или отсутствуют, пункт не выполнять</w:t>
            </w:r>
          </w:p>
        </w:tc>
        <w:tc>
          <w:tcPr>
            <w:tcW w:type="dxa" w:w="2420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7" w:val="single"/>
            </w:tcBorders>
            <w:tcMar>
              <w:top w:type="dxa" w:w="14"/>
              <w:left w:type="dxa" w:w="106"/>
              <w:right w:type="dxa" w:w="115"/>
            </w:tcMar>
          </w:tcPr>
          <w:p w14:paraId="4E000000">
            <w:pPr>
              <w:ind w:firstLine="0" w:left="31"/>
              <w:rPr>
                <w:rFonts w:ascii="Times New Roman" w:hAnsi="Times New Roman"/>
                <w:b w:val="1"/>
                <w:color w:val="000000"/>
                <w:sz w:val="24"/>
                <w:u w:color="000000" w:val="single"/>
              </w:rPr>
            </w:pPr>
          </w:p>
        </w:tc>
      </w:tr>
      <w:tr>
        <w:trPr>
          <w:trHeight w:hRule="atLeast" w:val="641"/>
        </w:trPr>
        <w:tc>
          <w:tcPr>
            <w:tcW w:type="dxa" w:w="382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7" w:val="single"/>
            </w:tcBorders>
            <w:tcMar>
              <w:top w:type="dxa" w:w="14"/>
              <w:left w:type="dxa" w:w="106"/>
              <w:right w:type="dxa" w:w="115"/>
            </w:tcMar>
          </w:tcPr>
          <w:p w14:paraId="4F000000">
            <w:pPr>
              <w:ind w:firstLine="0" w:left="2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Отбортовочная колодка 2-х воздушных и одного топливного трубопровода</w:t>
            </w:r>
          </w:p>
        </w:tc>
        <w:tc>
          <w:tcPr>
            <w:tcW w:type="dxa" w:w="610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7" w:val="single"/>
            </w:tcBorders>
            <w:tcMar>
              <w:top w:type="dxa" w:w="14"/>
              <w:left w:type="dxa" w:w="106"/>
              <w:right w:type="dxa" w:w="115"/>
            </w:tcMar>
          </w:tcPr>
          <w:p w14:paraId="50000000">
            <w:pPr>
              <w:ind w:firstLine="0" w:left="2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Демонтировать запомнив место установки и взаимное расположение частей колодки</w:t>
            </w:r>
          </w:p>
        </w:tc>
        <w:tc>
          <w:tcPr>
            <w:tcW w:type="dxa" w:w="2970"/>
            <w:tcBorders>
              <w:top w:color="000000" w:sz="4" w:val="single"/>
              <w:left w:color="000000" w:sz="4" w:val="single"/>
              <w:bottom w:color="000000" w:sz="4" w:val="single"/>
              <w:right w:color="000000" w:sz="7" w:val="single"/>
            </w:tcBorders>
            <w:tcMar>
              <w:top w:type="dxa" w:w="14"/>
              <w:left w:type="dxa" w:w="106"/>
              <w:right w:type="dxa" w:w="115"/>
            </w:tcMar>
          </w:tcPr>
          <w:p w14:paraId="51000000">
            <w:pPr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type="dxa" w:w="2420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7" w:val="single"/>
            </w:tcBorders>
            <w:tcMar>
              <w:top w:type="dxa" w:w="14"/>
              <w:left w:type="dxa" w:w="106"/>
              <w:right w:type="dxa" w:w="115"/>
            </w:tcMar>
          </w:tcPr>
          <w:p w14:paraId="52000000">
            <w:pPr>
              <w:ind w:firstLine="0" w:left="31"/>
              <w:rPr>
                <w:rFonts w:ascii="Times New Roman" w:hAnsi="Times New Roman"/>
                <w:b w:val="1"/>
                <w:color w:val="000000"/>
                <w:sz w:val="24"/>
                <w:u w:color="000000" w:val="single"/>
              </w:rPr>
            </w:pPr>
          </w:p>
        </w:tc>
      </w:tr>
      <w:tr>
        <w:trPr>
          <w:trHeight w:hRule="atLeast" w:val="804"/>
        </w:trPr>
        <w:tc>
          <w:tcPr>
            <w:tcW w:type="dxa" w:w="382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53000000">
            <w:pPr>
              <w:ind w:firstLine="0" w:left="2"/>
              <w:rPr>
                <w:rFonts w:ascii="Calibri" w:hAnsi="Calibri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Топливные и воздушные трубопроводы </w:t>
            </w:r>
          </w:p>
        </w:tc>
        <w:tc>
          <w:tcPr>
            <w:tcW w:type="dxa" w:w="610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5400000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Снять контровочную проволоку с соединений и отстыковать от НР-40. </w:t>
            </w:r>
          </w:p>
          <w:p w14:paraId="55000000">
            <w:pPr>
              <w:rPr>
                <w:rFonts w:ascii="Calibri" w:hAnsi="Calibri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Работу выполнять согласно Инструкции по эксплуатации и ТО Глава 7. П.2.6 стр. 707</w:t>
            </w:r>
          </w:p>
        </w:tc>
        <w:tc>
          <w:tcPr>
            <w:tcW w:type="dxa" w:w="29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56000000">
            <w:pPr>
              <w:rPr>
                <w:rFonts w:ascii="Calibri" w:hAnsi="Calibri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type="dxa" w:w="2420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7" w:val="single"/>
            </w:tcBorders>
            <w:tcMar>
              <w:top w:type="dxa" w:w="14"/>
              <w:left w:type="dxa" w:w="106"/>
              <w:right w:type="dxa" w:w="115"/>
            </w:tcMar>
          </w:tcPr>
          <w:p w14:paraId="57000000">
            <w:pPr>
              <w:rPr>
                <w:rFonts w:ascii="Calibri" w:hAnsi="Calibri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>
        <w:trPr>
          <w:trHeight w:hRule="atLeast" w:val="804"/>
        </w:trPr>
        <w:tc>
          <w:tcPr>
            <w:tcW w:type="dxa" w:w="382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58000000">
            <w:pPr>
              <w:spacing w:after="22"/>
              <w:ind w:firstLine="0" w:left="2"/>
              <w:rPr>
                <w:rFonts w:ascii="Calibri" w:hAnsi="Calibri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Приемные штуцеры </w:t>
            </w:r>
          </w:p>
          <w:p w14:paraId="59000000">
            <w:pPr>
              <w:ind w:firstLine="0" w:left="2"/>
              <w:rPr>
                <w:rFonts w:ascii="Calibri" w:hAnsi="Calibri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НР-40 и гайки трубопроводов </w:t>
            </w:r>
          </w:p>
        </w:tc>
        <w:tc>
          <w:tcPr>
            <w:tcW w:type="dxa" w:w="610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5A00000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Заглушить. </w:t>
            </w:r>
          </w:p>
          <w:p w14:paraId="5B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Работу выполнять согласно Инструкции по эксплуатации и ТО Глава 7. П.2.1 стр. 706</w:t>
            </w:r>
          </w:p>
        </w:tc>
        <w:tc>
          <w:tcPr>
            <w:tcW w:type="dxa" w:w="29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5C000000">
            <w:pPr>
              <w:rPr>
                <w:rFonts w:ascii="Calibri" w:hAnsi="Calibri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Если невозможно установить заглушки на этом этапе, установить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после демонтажа агрегата. </w:t>
            </w:r>
          </w:p>
        </w:tc>
        <w:tc>
          <w:tcPr>
            <w:tcW w:type="dxa" w:w="2420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7" w:val="single"/>
            </w:tcBorders>
            <w:tcMar>
              <w:top w:type="dxa" w:w="14"/>
              <w:left w:type="dxa" w:w="106"/>
              <w:right w:type="dxa" w:w="115"/>
            </w:tcMar>
          </w:tcPr>
          <w:p w14:paraId="5D000000">
            <w:pPr>
              <w:rPr>
                <w:rFonts w:ascii="Calibri" w:hAnsi="Calibri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>
        <w:trPr>
          <w:trHeight w:hRule="atLeast" w:val="804"/>
        </w:trPr>
        <w:tc>
          <w:tcPr>
            <w:tcW w:type="dxa" w:w="382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5E000000">
            <w:pPr>
              <w:ind w:firstLine="0" w:left="2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Входные рычаги управления</w:t>
            </w:r>
          </w:p>
        </w:tc>
        <w:tc>
          <w:tcPr>
            <w:tcW w:type="dxa" w:w="610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5F000000">
            <w:pPr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Надежно зафиксировать от перемещения</w:t>
            </w:r>
          </w:p>
        </w:tc>
        <w:tc>
          <w:tcPr>
            <w:tcW w:type="dxa" w:w="29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60000000">
            <w:pPr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type="dxa" w:w="2420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7" w:val="single"/>
            </w:tcBorders>
            <w:tcMar>
              <w:top w:type="dxa" w:w="14"/>
              <w:left w:type="dxa" w:w="106"/>
              <w:right w:type="dxa" w:w="115"/>
            </w:tcMar>
          </w:tcPr>
          <w:p w14:paraId="61000000">
            <w:pPr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rPr>
          <w:trHeight w:hRule="atLeast" w:val="998"/>
        </w:trPr>
        <w:tc>
          <w:tcPr>
            <w:tcW w:type="dxa" w:w="382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62000000">
            <w:pPr>
              <w:spacing w:after="22"/>
              <w:ind w:firstLine="0" w:left="2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Хомут крепления насоса-регулятора; НР-40</w:t>
            </w:r>
          </w:p>
        </w:tc>
        <w:tc>
          <w:tcPr>
            <w:tcW w:type="dxa" w:w="610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6300000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Открутить 2 винта на хомуте. Демонтировать обе половины стяжного хомута. Запомнить их взаимное расположение. </w:t>
            </w:r>
          </w:p>
          <w:p w14:paraId="6400000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Поддерживая агрегат за корпус аккуратно вывести его из места установки, при необходимости отвести трубопроводы, предотвращая их повреждение</w:t>
            </w:r>
          </w:p>
        </w:tc>
        <w:tc>
          <w:tcPr>
            <w:tcW w:type="dxa" w:w="29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65000000">
            <w:pPr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type="dxa" w:w="2420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7" w:val="single"/>
            </w:tcBorders>
            <w:tcMar>
              <w:top w:type="dxa" w:w="14"/>
              <w:left w:type="dxa" w:w="106"/>
              <w:right w:type="dxa" w:w="115"/>
            </w:tcMar>
          </w:tcPr>
          <w:p w14:paraId="66000000">
            <w:pPr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tbl>
      <w:tblPr>
        <w:tblStyle w:val="Style_5"/>
        <w:tblInd w:type="dxa" w:w="-572"/>
        <w:tblLayout w:type="fixed"/>
        <w:tblCellMar>
          <w:top w:type="dxa" w:w="14"/>
          <w:left w:type="dxa" w:w="108"/>
          <w:right w:type="dxa" w:w="53"/>
        </w:tblCellMar>
      </w:tblPr>
      <w:tblGrid>
        <w:gridCol w:w="3827"/>
        <w:gridCol w:w="6095"/>
        <w:gridCol w:w="2977"/>
        <w:gridCol w:w="2410"/>
      </w:tblGrid>
      <w:tr>
        <w:trPr>
          <w:trHeight w:hRule="atLeast" w:val="715"/>
        </w:trPr>
        <w:tc>
          <w:tcPr>
            <w:tcW w:type="dxa" w:w="382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8"/>
              <w:right w:type="dxa" w:w="53"/>
            </w:tcMar>
          </w:tcPr>
          <w:p w14:paraId="67000000">
            <w:pPr>
              <w:ind w:firstLine="0" w:left="2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Хомут крепления насоса-регулятора</w:t>
            </w:r>
          </w:p>
        </w:tc>
        <w:tc>
          <w:tcPr>
            <w:tcW w:type="dxa" w:w="60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8"/>
              <w:right w:type="dxa" w:w="53"/>
            </w:tcMar>
          </w:tcPr>
          <w:p w14:paraId="6800000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Установить половинки хомута на фланец привода НР-40 (на двигателе), поставив предварительно между ними заглушку, и затянуть стяжные винты</w:t>
            </w:r>
          </w:p>
        </w:tc>
        <w:tc>
          <w:tcPr>
            <w:tcW w:type="dxa" w:w="29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8"/>
              <w:right w:type="dxa" w:w="53"/>
            </w:tcMar>
          </w:tcPr>
          <w:p w14:paraId="69000000">
            <w:pPr>
              <w:ind w:firstLine="0" w:left="2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type="dxa" w:w="2410"/>
            <w:tcBorders>
              <w:top w:color="000000" w:sz="4" w:val="single"/>
              <w:left w:color="000000" w:sz="4" w:val="single"/>
              <w:bottom w:color="000000" w:sz="4" w:val="single"/>
              <w:right w:color="000000" w:sz="7" w:val="single"/>
            </w:tcBorders>
            <w:tcMar>
              <w:top w:type="dxa" w:w="14"/>
              <w:left w:type="dxa" w:w="108"/>
              <w:right w:type="dxa" w:w="53"/>
            </w:tcMar>
          </w:tcPr>
          <w:p w14:paraId="6A000000">
            <w:pPr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rPr>
          <w:trHeight w:hRule="atLeast" w:val="715"/>
        </w:trPr>
        <w:tc>
          <w:tcPr>
            <w:tcW w:type="dxa" w:w="382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8"/>
              <w:right w:type="dxa" w:w="53"/>
            </w:tcMar>
          </w:tcPr>
          <w:p w14:paraId="6B000000">
            <w:pPr>
              <w:ind w:firstLine="0" w:left="2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НР-40;</w:t>
            </w:r>
          </w:p>
        </w:tc>
        <w:tc>
          <w:tcPr>
            <w:tcW w:type="dxa" w:w="60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8"/>
              <w:right w:type="dxa" w:w="53"/>
            </w:tcMar>
          </w:tcPr>
          <w:p w14:paraId="6C000000">
            <w:pPr>
              <w:spacing w:line="264" w:lineRule="auto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Очистить агрегат, осмотреть на предмет повреждений. </w:t>
            </w:r>
          </w:p>
          <w:p w14:paraId="6D00000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агрегате не должно быть забоин вмятин, коррозии, отслоения краски.</w:t>
            </w:r>
          </w:p>
        </w:tc>
        <w:tc>
          <w:tcPr>
            <w:tcW w:type="dxa" w:w="29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8"/>
              <w:right w:type="dxa" w:w="53"/>
            </w:tcMar>
          </w:tcPr>
          <w:p w14:paraId="6E000000">
            <w:pPr>
              <w:ind w:firstLine="0" w:left="2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type="dxa" w:w="2410"/>
            <w:tcBorders>
              <w:top w:color="000000" w:sz="4" w:val="single"/>
              <w:left w:color="000000" w:sz="4" w:val="single"/>
              <w:bottom w:color="000000" w:sz="4" w:val="single"/>
              <w:right w:color="000000" w:sz="7" w:val="single"/>
            </w:tcBorders>
            <w:tcMar>
              <w:top w:type="dxa" w:w="14"/>
              <w:left w:type="dxa" w:w="108"/>
              <w:right w:type="dxa" w:w="53"/>
            </w:tcMar>
          </w:tcPr>
          <w:p w14:paraId="6F000000">
            <w:pPr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rPr>
          <w:trHeight w:hRule="atLeast" w:val="715"/>
        </w:trPr>
        <w:tc>
          <w:tcPr>
            <w:tcW w:type="dxa" w:w="382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8"/>
              <w:right w:type="dxa" w:w="53"/>
            </w:tcMar>
          </w:tcPr>
          <w:p w14:paraId="7000000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Приводная рессора НР-40; Приемные штуцеры НР-40</w:t>
            </w:r>
          </w:p>
        </w:tc>
        <w:tc>
          <w:tcPr>
            <w:tcW w:type="dxa" w:w="60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8"/>
              <w:right w:type="dxa" w:w="53"/>
            </w:tcMar>
          </w:tcPr>
          <w:p w14:paraId="71000000">
            <w:pPr>
              <w:spacing w:line="264" w:lineRule="auto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Очистить, осмотреть на предмет повреждений.</w:t>
            </w:r>
          </w:p>
          <w:p w14:paraId="7200000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Смазать смазкой Циатим 221.</w:t>
            </w:r>
          </w:p>
          <w:p w14:paraId="73000000">
            <w:pPr>
              <w:spacing w:line="264" w:lineRule="auto"/>
              <w:ind/>
              <w:rPr>
                <w:rFonts w:ascii="Calibri" w:hAnsi="Calibri"/>
                <w:color w:val="4472C4"/>
                <w:sz w:val="18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ПРИМЕЧАНИЕ: </w:t>
            </w:r>
          </w:p>
          <w:p w14:paraId="7400000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Работу по данному пункту выполнять непосредственно перед установкой НР-40 на двигатель.</w:t>
            </w:r>
          </w:p>
        </w:tc>
        <w:tc>
          <w:tcPr>
            <w:tcW w:type="dxa" w:w="29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8"/>
              <w:right w:type="dxa" w:w="53"/>
            </w:tcMar>
          </w:tcPr>
          <w:p w14:paraId="75000000">
            <w:pPr>
              <w:ind w:firstLine="0" w:left="2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type="dxa" w:w="2410"/>
            <w:tcBorders>
              <w:top w:color="000000" w:sz="4" w:val="single"/>
              <w:left w:color="000000" w:sz="4" w:val="single"/>
              <w:bottom w:color="000000" w:sz="4" w:val="single"/>
              <w:right w:color="000000" w:sz="7" w:val="single"/>
            </w:tcBorders>
            <w:tcMar>
              <w:top w:type="dxa" w:w="14"/>
              <w:left w:type="dxa" w:w="108"/>
              <w:right w:type="dxa" w:w="53"/>
            </w:tcMar>
          </w:tcPr>
          <w:p w14:paraId="76000000">
            <w:pPr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rPr>
          <w:trHeight w:hRule="atLeast" w:val="715"/>
        </w:trPr>
        <w:tc>
          <w:tcPr>
            <w:tcW w:type="dxa" w:w="382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8"/>
              <w:right w:type="dxa" w:w="53"/>
            </w:tcMar>
          </w:tcPr>
          <w:p w14:paraId="7700000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НР-40;</w:t>
            </w:r>
          </w:p>
        </w:tc>
        <w:tc>
          <w:tcPr>
            <w:tcW w:type="dxa" w:w="60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8"/>
              <w:right w:type="dxa" w:w="53"/>
            </w:tcMar>
          </w:tcPr>
          <w:p w14:paraId="7800000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Произвести консервацию снятого агрегата</w:t>
            </w:r>
          </w:p>
        </w:tc>
        <w:tc>
          <w:tcPr>
            <w:tcW w:type="dxa" w:w="29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8"/>
              <w:right w:type="dxa" w:w="53"/>
            </w:tcMar>
          </w:tcPr>
          <w:p w14:paraId="79000000">
            <w:pPr>
              <w:ind w:firstLine="0" w:left="2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 отсутствии возможности выполнения, </w:t>
            </w:r>
            <w:r>
              <w:rPr>
                <w:rFonts w:ascii="Times New Roman" w:hAnsi="Times New Roman"/>
                <w:color w:val="000000"/>
                <w:sz w:val="24"/>
              </w:rPr>
              <w:t>получить резолюцию от оценивающего эксперта</w:t>
            </w:r>
          </w:p>
        </w:tc>
        <w:tc>
          <w:tcPr>
            <w:tcW w:type="dxa" w:w="2410"/>
            <w:tcBorders>
              <w:top w:color="000000" w:sz="4" w:val="single"/>
              <w:left w:color="000000" w:sz="4" w:val="single"/>
              <w:bottom w:color="000000" w:sz="4" w:val="single"/>
              <w:right w:color="000000" w:sz="7" w:val="single"/>
            </w:tcBorders>
            <w:tcMar>
              <w:top w:type="dxa" w:w="14"/>
              <w:left w:type="dxa" w:w="108"/>
              <w:right w:type="dxa" w:w="53"/>
            </w:tcMar>
          </w:tcPr>
          <w:p w14:paraId="7A000000">
            <w:pPr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rPr>
          <w:trHeight w:hRule="atLeast" w:val="397"/>
        </w:trPr>
        <w:tc>
          <w:tcPr>
            <w:tcW w:type="dxa" w:w="3827"/>
            <w:tcBorders>
              <w:top w:color="000000" w:sz="4" w:val="single"/>
              <w:left w:color="000000" w:sz="4" w:val="single"/>
              <w:bottom w:color="000000" w:sz="4" w:val="single"/>
              <w:right w:sz="4" w:val="nil"/>
            </w:tcBorders>
            <w:tcMar>
              <w:top w:type="dxa" w:w="14"/>
              <w:left w:type="dxa" w:w="108"/>
              <w:right w:type="dxa" w:w="53"/>
            </w:tcMar>
          </w:tcPr>
          <w:p w14:paraId="7B000000">
            <w:pPr>
              <w:spacing w:line="264" w:lineRule="auto"/>
              <w:ind w:firstLine="0" w:left="2"/>
              <w:rPr>
                <w:rFonts w:ascii="Calibri" w:hAnsi="Calibri"/>
                <w:b w:val="1"/>
                <w:color w:val="4472C4"/>
                <w:sz w:val="18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3.</w:t>
            </w:r>
            <w:r>
              <w:rPr>
                <w:rFonts w:ascii="Arial" w:hAnsi="Arial"/>
                <w:b w:val="1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Монтаж </w:t>
            </w:r>
          </w:p>
        </w:tc>
        <w:tc>
          <w:tcPr>
            <w:tcW w:type="dxa" w:w="6095"/>
            <w:tcBorders>
              <w:top w:color="000000" w:sz="4" w:val="single"/>
              <w:left w:sz="4" w:val="nil"/>
              <w:bottom w:color="000000" w:sz="4" w:val="single"/>
              <w:right w:sz="4" w:val="nil"/>
            </w:tcBorders>
            <w:tcMar>
              <w:top w:type="dxa" w:w="14"/>
              <w:left w:type="dxa" w:w="108"/>
              <w:right w:type="dxa" w:w="53"/>
            </w:tcMar>
          </w:tcPr>
          <w:p w14:paraId="7C000000">
            <w:pPr>
              <w:spacing w:line="264" w:lineRule="auto"/>
              <w:ind/>
              <w:rPr>
                <w:rFonts w:ascii="Calibri" w:hAnsi="Calibri"/>
                <w:color w:val="4472C4"/>
                <w:sz w:val="18"/>
              </w:rPr>
            </w:pPr>
          </w:p>
        </w:tc>
        <w:tc>
          <w:tcPr>
            <w:tcW w:type="dxa" w:w="2977"/>
            <w:tcBorders>
              <w:top w:color="000000" w:sz="4" w:val="single"/>
              <w:left w:sz="4" w:val="nil"/>
              <w:bottom w:color="000000" w:sz="4" w:val="single"/>
              <w:right w:sz="4" w:val="nil"/>
            </w:tcBorders>
            <w:tcMar>
              <w:top w:type="dxa" w:w="14"/>
              <w:left w:type="dxa" w:w="108"/>
              <w:right w:type="dxa" w:w="53"/>
            </w:tcMar>
          </w:tcPr>
          <w:p w14:paraId="7D000000">
            <w:pPr>
              <w:spacing w:line="264" w:lineRule="auto"/>
              <w:ind/>
              <w:rPr>
                <w:rFonts w:ascii="Calibri" w:hAnsi="Calibri"/>
                <w:color w:val="4472C4"/>
                <w:sz w:val="18"/>
              </w:rPr>
            </w:pPr>
          </w:p>
        </w:tc>
        <w:tc>
          <w:tcPr>
            <w:tcW w:type="dxa" w:w="2410"/>
            <w:tcBorders>
              <w:top w:color="000000" w:sz="4" w:val="single"/>
              <w:left w:sz="4" w:val="nil"/>
              <w:bottom w:color="000000" w:sz="4" w:val="single"/>
              <w:right w:color="000000" w:sz="7" w:val="single"/>
            </w:tcBorders>
            <w:tcMar>
              <w:top w:type="dxa" w:w="14"/>
              <w:left w:type="dxa" w:w="108"/>
              <w:right w:type="dxa" w:w="53"/>
            </w:tcMar>
          </w:tcPr>
          <w:p w14:paraId="7E000000">
            <w:pPr>
              <w:spacing w:line="264" w:lineRule="auto"/>
              <w:ind/>
              <w:rPr>
                <w:rFonts w:ascii="Calibri" w:hAnsi="Calibri"/>
                <w:color w:val="4472C4"/>
                <w:sz w:val="18"/>
              </w:rPr>
            </w:pPr>
          </w:p>
        </w:tc>
      </w:tr>
      <w:tr>
        <w:trPr>
          <w:trHeight w:hRule="atLeast" w:val="437"/>
        </w:trPr>
        <w:tc>
          <w:tcPr>
            <w:tcW w:type="dxa" w:w="382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8"/>
              <w:right w:type="dxa" w:w="53"/>
            </w:tcMar>
          </w:tcPr>
          <w:p w14:paraId="7F000000">
            <w:pPr>
              <w:spacing w:line="264" w:lineRule="auto"/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Хомут крепления НР-40</w:t>
            </w:r>
          </w:p>
        </w:tc>
        <w:tc>
          <w:tcPr>
            <w:tcW w:type="dxa" w:w="60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8"/>
              <w:right w:type="dxa" w:w="53"/>
            </w:tcMar>
          </w:tcPr>
          <w:p w14:paraId="80000000">
            <w:pPr>
              <w:spacing w:line="264" w:lineRule="auto"/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Отвернуть стяжные винты</w:t>
            </w:r>
            <w:r>
              <w:rPr>
                <w:rFonts w:ascii="Times New Roman" w:hAnsi="Times New Roman"/>
                <w:color w:val="000000"/>
                <w:sz w:val="24"/>
              </w:rPr>
              <w:t>, снять заглушку</w:t>
            </w:r>
          </w:p>
        </w:tc>
        <w:tc>
          <w:tcPr>
            <w:tcW w:type="dxa" w:w="29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8"/>
              <w:right w:type="dxa" w:w="53"/>
            </w:tcMar>
          </w:tcPr>
          <w:p w14:paraId="81000000">
            <w:pPr>
              <w:rPr>
                <w:rFonts w:ascii="Calibri" w:hAnsi="Calibri"/>
                <w:color w:val="4472C4"/>
                <w:sz w:val="18"/>
              </w:rPr>
            </w:pPr>
          </w:p>
        </w:tc>
        <w:tc>
          <w:tcPr>
            <w:tcW w:type="dxa" w:w="2410"/>
            <w:tcBorders>
              <w:top w:color="000000" w:sz="4" w:val="single"/>
              <w:left w:color="000000" w:sz="4" w:val="single"/>
              <w:bottom w:color="000000" w:sz="4" w:val="single"/>
              <w:right w:color="000000" w:sz="7" w:val="single"/>
            </w:tcBorders>
            <w:tcMar>
              <w:top w:type="dxa" w:w="14"/>
              <w:left w:type="dxa" w:w="108"/>
              <w:right w:type="dxa" w:w="53"/>
            </w:tcMar>
          </w:tcPr>
          <w:p w14:paraId="82000000">
            <w:pPr>
              <w:rPr>
                <w:rFonts w:ascii="Calibri" w:hAnsi="Calibri"/>
                <w:color w:val="4472C4"/>
                <w:sz w:val="18"/>
              </w:rPr>
            </w:pPr>
          </w:p>
        </w:tc>
      </w:tr>
      <w:tr>
        <w:trPr>
          <w:trHeight w:hRule="atLeast" w:val="437"/>
        </w:trPr>
        <w:tc>
          <w:tcPr>
            <w:tcW w:type="dxa" w:w="382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8"/>
              <w:right w:type="dxa" w:w="53"/>
            </w:tcMar>
          </w:tcPr>
          <w:p w14:paraId="83000000">
            <w:pPr>
              <w:spacing w:line="264" w:lineRule="auto"/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Уплотнительное кольцо</w:t>
            </w:r>
          </w:p>
        </w:tc>
        <w:tc>
          <w:tcPr>
            <w:tcW w:type="dxa" w:w="60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8"/>
              <w:right w:type="dxa" w:w="53"/>
            </w:tcMar>
          </w:tcPr>
          <w:p w14:paraId="84000000">
            <w:pPr>
              <w:spacing w:line="264" w:lineRule="auto"/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Установить уплотнительное кольцо на фланец крепления насоса-регулятора.</w:t>
            </w:r>
          </w:p>
          <w:p w14:paraId="85000000">
            <w:pPr>
              <w:spacing w:line="264" w:lineRule="auto"/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type="dxa" w:w="29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8"/>
              <w:right w:type="dxa" w:w="53"/>
            </w:tcMar>
          </w:tcPr>
          <w:p w14:paraId="86000000">
            <w:pPr>
              <w:rPr>
                <w:rFonts w:ascii="Calibri" w:hAnsi="Calibri"/>
                <w:color w:val="4472C4"/>
                <w:sz w:val="18"/>
              </w:rPr>
            </w:pPr>
          </w:p>
        </w:tc>
        <w:tc>
          <w:tcPr>
            <w:tcW w:type="dxa" w:w="2410"/>
            <w:tcBorders>
              <w:top w:color="000000" w:sz="4" w:val="single"/>
              <w:left w:color="000000" w:sz="4" w:val="single"/>
              <w:bottom w:color="000000" w:sz="4" w:val="single"/>
              <w:right w:color="000000" w:sz="7" w:val="single"/>
            </w:tcBorders>
            <w:tcMar>
              <w:top w:type="dxa" w:w="14"/>
              <w:left w:type="dxa" w:w="108"/>
              <w:right w:type="dxa" w:w="53"/>
            </w:tcMar>
          </w:tcPr>
          <w:p w14:paraId="87000000">
            <w:pPr>
              <w:rPr>
                <w:rFonts w:ascii="Calibri" w:hAnsi="Calibri"/>
                <w:color w:val="4472C4"/>
                <w:sz w:val="18"/>
              </w:rPr>
            </w:pPr>
          </w:p>
        </w:tc>
      </w:tr>
      <w:tr>
        <w:trPr>
          <w:trHeight w:hRule="atLeast" w:val="437"/>
        </w:trPr>
        <w:tc>
          <w:tcPr>
            <w:tcW w:type="dxa" w:w="382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8"/>
              <w:right w:type="dxa" w:w="53"/>
            </w:tcMar>
          </w:tcPr>
          <w:p w14:paraId="88000000">
            <w:pPr>
              <w:spacing w:line="264" w:lineRule="auto"/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Насос-регулятор; Хомут крепления насоса-регулятора</w:t>
            </w:r>
          </w:p>
        </w:tc>
        <w:tc>
          <w:tcPr>
            <w:tcW w:type="dxa" w:w="60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8"/>
              <w:right w:type="dxa" w:w="53"/>
            </w:tcMar>
          </w:tcPr>
          <w:p w14:paraId="89000000">
            <w:pPr>
              <w:spacing w:line="264" w:lineRule="auto"/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расположить в месте установки совместив шлицы привода. Аккуратно прижав Насос-регулятор к фланцу крепления на коробке приводов надеть обе половины стяжного хомута, соблюдая их взаимное расположение. Хомут должен быть ориентирован горизонтально.</w:t>
            </w:r>
          </w:p>
          <w:p w14:paraId="8A000000">
            <w:pPr>
              <w:spacing w:line="264" w:lineRule="auto"/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type="dxa" w:w="29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8"/>
              <w:right w:type="dxa" w:w="53"/>
            </w:tcMar>
          </w:tcPr>
          <w:p w14:paraId="8B000000">
            <w:pPr>
              <w:spacing w:line="264" w:lineRule="auto"/>
              <w:ind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type="dxa" w:w="2410"/>
            <w:tcBorders>
              <w:top w:color="000000" w:sz="4" w:val="single"/>
              <w:left w:color="000000" w:sz="4" w:val="single"/>
              <w:bottom w:color="000000" w:sz="4" w:val="single"/>
              <w:right w:color="000000" w:sz="7" w:val="single"/>
            </w:tcBorders>
            <w:tcMar>
              <w:top w:type="dxa" w:w="14"/>
              <w:left w:type="dxa" w:w="108"/>
              <w:right w:type="dxa" w:w="53"/>
            </w:tcMar>
          </w:tcPr>
          <w:p w14:paraId="8C000000">
            <w:pPr>
              <w:rPr>
                <w:rFonts w:ascii="Calibri" w:hAnsi="Calibri"/>
                <w:color w:val="4472C4"/>
                <w:sz w:val="18"/>
              </w:rPr>
            </w:pPr>
          </w:p>
        </w:tc>
      </w:tr>
      <w:tr>
        <w:trPr>
          <w:trHeight w:hRule="atLeast" w:val="910"/>
        </w:trPr>
        <w:tc>
          <w:tcPr>
            <w:tcW w:type="dxa" w:w="382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8"/>
              <w:right w:type="dxa" w:w="53"/>
            </w:tcMar>
          </w:tcPr>
          <w:p w14:paraId="8D000000">
            <w:pPr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Болты хомута крепления НР-40 </w:t>
            </w:r>
          </w:p>
        </w:tc>
        <w:tc>
          <w:tcPr>
            <w:tcW w:type="dxa" w:w="60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8"/>
              <w:right w:type="dxa" w:w="53"/>
            </w:tcMar>
          </w:tcPr>
          <w:p w14:paraId="8E00000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Затяжку производите равномерно, выдерживая равными зазоры между торцами по разъемам хомута</w:t>
            </w:r>
          </w:p>
          <w:p w14:paraId="8F00000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Болты хомута затянуть моментом 7Нм.</w:t>
            </w:r>
          </w:p>
          <w:p w14:paraId="90000000">
            <w:pPr>
              <w:rPr>
                <w:rFonts w:ascii="Times New Roman" w:hAnsi="Times New Roman"/>
                <w:color w:val="000000"/>
                <w:sz w:val="24"/>
              </w:rPr>
            </w:pPr>
          </w:p>
          <w:p w14:paraId="91000000">
            <w:pPr>
              <w:rPr>
                <w:rFonts w:ascii="Times New Roman" w:hAnsi="Times New Roman"/>
                <w:color w:val="000000"/>
                <w:sz w:val="24"/>
              </w:rPr>
            </w:pPr>
          </w:p>
          <w:p w14:paraId="92000000">
            <w:pPr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type="dxa" w:w="29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8"/>
              <w:right w:type="dxa" w:w="53"/>
            </w:tcMar>
          </w:tcPr>
          <w:p w14:paraId="93000000">
            <w:pPr>
              <w:ind w:firstLine="0" w:left="61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type="dxa" w:w="2410"/>
            <w:tcBorders>
              <w:top w:color="000000" w:sz="4" w:val="single"/>
              <w:left w:color="000000" w:sz="4" w:val="single"/>
              <w:bottom w:color="000000" w:sz="4" w:val="single"/>
              <w:right w:color="000000" w:sz="7" w:val="single"/>
            </w:tcBorders>
            <w:tcMar>
              <w:top w:type="dxa" w:w="14"/>
              <w:left w:type="dxa" w:w="108"/>
              <w:right w:type="dxa" w:w="53"/>
            </w:tcMar>
          </w:tcPr>
          <w:p w14:paraId="94000000">
            <w:pPr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tbl>
      <w:tblPr>
        <w:tblStyle w:val="Style_4"/>
        <w:tblInd w:type="dxa" w:w="-572"/>
        <w:tblLayout w:type="fixed"/>
        <w:tblCellMar>
          <w:top w:type="dxa" w:w="14"/>
          <w:left w:type="dxa" w:w="106"/>
          <w:right w:type="dxa" w:w="115"/>
        </w:tblCellMar>
      </w:tblPr>
      <w:tblGrid>
        <w:gridCol w:w="3827"/>
        <w:gridCol w:w="5108"/>
        <w:gridCol w:w="987"/>
        <w:gridCol w:w="1990"/>
        <w:gridCol w:w="987"/>
        <w:gridCol w:w="2410"/>
      </w:tblGrid>
      <w:tr>
        <w:trPr>
          <w:trHeight w:hRule="atLeast" w:val="368"/>
        </w:trPr>
        <w:tc>
          <w:tcPr>
            <w:tcW w:type="dxa" w:w="382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95000000">
            <w:pPr>
              <w:ind w:firstLine="0" w:left="61"/>
              <w:rPr>
                <w:rFonts w:ascii="Times New Roman" w:hAnsi="Times New Roman"/>
                <w:b w:val="1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Топливные и воздушные трубопроводы </w:t>
            </w:r>
          </w:p>
        </w:tc>
        <w:tc>
          <w:tcPr>
            <w:tcW w:type="dxa" w:w="6095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96000000">
            <w:pPr>
              <w:ind w:firstLine="0" w:left="6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Состыковать с НР-40, затянуть моментом 6Нм., застопорить проволокой.</w:t>
            </w:r>
          </w:p>
          <w:p w14:paraId="97000000">
            <w:pPr>
              <w:ind w:firstLine="0" w:left="6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Работу выполнять согласно Инструкции по эксплуатации и ТО Глава 7. П.2.6 стр. 707</w:t>
            </w:r>
          </w:p>
          <w:p w14:paraId="98000000">
            <w:pPr>
              <w:ind w:firstLine="0" w:left="6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Стопорение выполнять согласно АС 43-13 Par 7-127</w:t>
            </w:r>
            <w:r>
              <w:t xml:space="preserve">; </w:t>
            </w:r>
            <w:r>
              <w:rPr>
                <w:rFonts w:ascii="Times New Roman" w:hAnsi="Times New Roman"/>
                <w:color w:val="000000"/>
                <w:sz w:val="24"/>
              </w:rPr>
              <w:t>Page 7-316;</w:t>
            </w:r>
          </w:p>
          <w:p w14:paraId="99000000">
            <w:pPr>
              <w:ind w:firstLine="0" w:left="61"/>
              <w:rPr>
                <w:rFonts w:ascii="Times New Roman" w:hAnsi="Times New Roman"/>
                <w:b w:val="1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type="dxa" w:w="297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9A000000">
            <w:pPr>
              <w:ind w:firstLine="0" w:left="61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 невозможности затянуть моментом Затяните гайку вручную, </w:t>
            </w:r>
            <w:r>
              <w:rPr>
                <w:rFonts w:ascii="Times New Roman" w:hAnsi="Times New Roman"/>
                <w:color w:val="000000"/>
                <w:sz w:val="24"/>
              </w:rPr>
              <w:t>затем еще на 1/12 оборота (30 градусов) гаечным ключом. Это обеспечит герметичность без перегрузки штуцера.</w:t>
            </w:r>
          </w:p>
        </w:tc>
        <w:tc>
          <w:tcPr>
            <w:tcW w:type="dxa" w:w="24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9B000000">
            <w:pPr>
              <w:ind w:firstLine="0" w:left="290"/>
              <w:jc w:val="center"/>
              <w:rPr>
                <w:rFonts w:ascii="Times New Roman" w:hAnsi="Times New Roman"/>
                <w:b w:val="1"/>
                <w:color w:val="000000"/>
                <w:sz w:val="24"/>
              </w:rPr>
            </w:pPr>
          </w:p>
        </w:tc>
      </w:tr>
      <w:tr>
        <w:trPr>
          <w:trHeight w:hRule="atLeast" w:val="365"/>
        </w:trPr>
        <w:tc>
          <w:tcPr>
            <w:tcW w:type="dxa" w:w="8935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sz="4" w:val="nil"/>
            </w:tcBorders>
            <w:tcMar>
              <w:top w:type="dxa" w:w="14"/>
              <w:left w:type="dxa" w:w="106"/>
              <w:right w:type="dxa" w:w="115"/>
            </w:tcMar>
          </w:tcPr>
          <w:p w14:paraId="9C000000">
            <w:pPr>
              <w:ind w:firstLine="0" w:left="61"/>
              <w:rPr>
                <w:rFonts w:ascii="Calibri" w:hAnsi="Calibri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4.</w:t>
            </w:r>
            <w:r>
              <w:rPr>
                <w:rFonts w:ascii="Arial" w:hAnsi="Arial"/>
                <w:b w:val="1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Заключительные работы </w:t>
            </w:r>
          </w:p>
        </w:tc>
        <w:tc>
          <w:tcPr>
            <w:tcW w:type="dxa" w:w="2977"/>
            <w:gridSpan w:val="2"/>
            <w:tcBorders>
              <w:top w:color="000000" w:sz="4" w:val="single"/>
              <w:left w:sz="4" w:val="nil"/>
              <w:bottom w:color="000000" w:sz="4" w:val="single"/>
              <w:right w:sz="4" w:val="nil"/>
            </w:tcBorders>
            <w:tcMar>
              <w:top w:type="dxa" w:w="14"/>
              <w:left w:type="dxa" w:w="106"/>
              <w:right w:type="dxa" w:w="115"/>
            </w:tcMar>
          </w:tcPr>
          <w:p w14:paraId="9D000000">
            <w:pPr>
              <w:ind w:firstLine="0" w:left="61"/>
              <w:rPr>
                <w:rFonts w:ascii="Calibri" w:hAnsi="Calibri"/>
              </w:rPr>
            </w:pPr>
          </w:p>
        </w:tc>
        <w:tc>
          <w:tcPr>
            <w:tcW w:type="dxa" w:w="3397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9E000000">
            <w:pPr>
              <w:rPr>
                <w:rFonts w:ascii="Calibri" w:hAnsi="Calibri"/>
              </w:rPr>
            </w:pPr>
          </w:p>
        </w:tc>
      </w:tr>
      <w:tr>
        <w:trPr>
          <w:trHeight w:hRule="atLeast" w:val="1116"/>
        </w:trPr>
        <w:tc>
          <w:tcPr>
            <w:tcW w:type="dxa" w:w="382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9F000000">
            <w:pPr>
              <w:ind w:firstLine="0" w:left="61"/>
              <w:rPr>
                <w:rFonts w:ascii="Calibri" w:hAnsi="Calibri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Проверка соединений трубопроводов на отсутствие течей </w:t>
            </w:r>
          </w:p>
        </w:tc>
        <w:tc>
          <w:tcPr>
            <w:tcW w:type="dxa" w:w="6095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A0000000">
            <w:pPr>
              <w:ind w:firstLine="0" w:left="61"/>
              <w:rPr>
                <w:rFonts w:ascii="Calibri" w:hAnsi="Calibri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Выполнить в соответствии с Инструкции по эксплуатации и ТО п.2.10 стр. 708 </w:t>
            </w:r>
          </w:p>
        </w:tc>
        <w:tc>
          <w:tcPr>
            <w:tcW w:type="dxa" w:w="297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A1000000">
            <w:pPr>
              <w:ind w:firstLine="0" w:left="6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 отсутствии возможности выполнения, получить удостоверение от оценивающего эксперта </w:t>
            </w:r>
          </w:p>
          <w:p w14:paraId="A2000000">
            <w:pPr>
              <w:ind w:firstLine="0" w:left="61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type="dxa" w:w="24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A3000000">
            <w:pPr>
              <w:ind w:firstLine="0" w:left="2"/>
              <w:rPr>
                <w:rFonts w:ascii="Calibri" w:hAnsi="Calibri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>
        <w:trPr>
          <w:trHeight w:hRule="atLeast" w:val="365"/>
        </w:trPr>
        <w:tc>
          <w:tcPr>
            <w:tcW w:type="dxa" w:w="9922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sz="4" w:val="nil"/>
            </w:tcBorders>
            <w:tcMar>
              <w:top w:type="dxa" w:w="14"/>
              <w:left w:type="dxa" w:w="106"/>
              <w:right w:type="dxa" w:w="115"/>
            </w:tcMar>
          </w:tcPr>
          <w:p w14:paraId="A4000000">
            <w:pPr>
              <w:ind w:firstLine="0" w:left="61"/>
              <w:rPr>
                <w:rFonts w:ascii="Calibri" w:hAnsi="Calibri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5.</w:t>
            </w:r>
            <w:r>
              <w:rPr>
                <w:rFonts w:ascii="Arial" w:hAnsi="Arial"/>
                <w:b w:val="1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Отчет  </w:t>
            </w:r>
          </w:p>
        </w:tc>
        <w:tc>
          <w:tcPr>
            <w:tcW w:type="dxa" w:w="2977"/>
            <w:gridSpan w:val="2"/>
            <w:tcBorders>
              <w:top w:color="000000" w:sz="4" w:val="single"/>
              <w:left w:sz="4" w:val="nil"/>
              <w:bottom w:color="000000" w:sz="4" w:val="single"/>
              <w:right w:sz="4" w:val="nil"/>
            </w:tcBorders>
            <w:tcMar>
              <w:top w:type="dxa" w:w="14"/>
              <w:left w:type="dxa" w:w="106"/>
              <w:right w:type="dxa" w:w="115"/>
            </w:tcMar>
          </w:tcPr>
          <w:p w14:paraId="A5000000">
            <w:pPr>
              <w:ind w:firstLine="0" w:left="61"/>
              <w:rPr>
                <w:rFonts w:ascii="Calibri" w:hAnsi="Calibri"/>
              </w:rPr>
            </w:pPr>
          </w:p>
        </w:tc>
        <w:tc>
          <w:tcPr>
            <w:tcW w:type="dxa" w:w="241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A6000000">
            <w:pPr>
              <w:rPr>
                <w:rFonts w:ascii="Calibri" w:hAnsi="Calibri"/>
              </w:rPr>
            </w:pPr>
          </w:p>
        </w:tc>
      </w:tr>
      <w:tr>
        <w:trPr>
          <w:trHeight w:hRule="atLeast" w:val="653"/>
        </w:trPr>
        <w:tc>
          <w:tcPr>
            <w:tcW w:type="dxa" w:w="382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A7000000">
            <w:pPr>
              <w:ind w:firstLine="0" w:left="3"/>
              <w:rPr>
                <w:rFonts w:ascii="Calibri" w:hAnsi="Calibri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Отчет  </w:t>
            </w:r>
          </w:p>
        </w:tc>
        <w:tc>
          <w:tcPr>
            <w:tcW w:type="dxa" w:w="6095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A8000000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Подготовить бланк «Ведомость дефектов» </w:t>
            </w:r>
          </w:p>
          <w:p w14:paraId="A9000000">
            <w:pPr>
              <w:ind w:firstLine="0" w:left="2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Оформить бланк «Карта на работу» </w:t>
            </w:r>
          </w:p>
          <w:p w14:paraId="AA000000">
            <w:pPr>
              <w:ind w:firstLine="0" w:left="2"/>
              <w:rPr>
                <w:rFonts w:ascii="Calibri" w:hAnsi="Calibri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Передать бланки экспертам. </w:t>
            </w:r>
          </w:p>
        </w:tc>
        <w:tc>
          <w:tcPr>
            <w:tcW w:type="dxa" w:w="297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AB000000">
            <w:pPr>
              <w:rPr>
                <w:rFonts w:ascii="Calibri" w:hAnsi="Calibri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type="dxa" w:w="24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4"/>
              <w:left w:type="dxa" w:w="106"/>
              <w:right w:type="dxa" w:w="115"/>
            </w:tcMar>
          </w:tcPr>
          <w:p w14:paraId="AC000000">
            <w:pPr>
              <w:ind w:firstLine="0" w:left="2"/>
              <w:rPr>
                <w:rFonts w:ascii="Calibri" w:hAnsi="Calibri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</w:tbl>
    <w:p w14:paraId="AD000000">
      <w:pPr>
        <w:rPr>
          <w:rFonts w:ascii="Times New Roman" w:hAnsi="Times New Roman"/>
          <w:sz w:val="24"/>
        </w:rPr>
      </w:pPr>
    </w:p>
    <w:sectPr>
      <w:headerReference r:id="rId1" w:type="default"/>
      <w:footerReference r:id="rId2" w:type="default"/>
      <w:pgSz w:h="11906" w:orient="landscape" w:w="16838"/>
      <w:pgMar w:bottom="851" w:footer="295" w:gutter="0" w:header="142" w:left="1134" w:right="1134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2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>
    <w:pPr>
      <w:framePr w:hAnchor="margin" w:vAnchor="text" w:wrap="around" w:xAlign="right" w:y="1"/>
    </w:pPr>
    <w:r>
      <w:fldChar w:fldCharType="begin"/>
    </w:r>
    <w:r>
      <w:instrText xml:space="preserve">PAGE </w:instrText>
    </w:r>
    <w:r>
      <w:fldChar w:fldCharType="separate"/>
    </w:r>
    <w:r>
      <w:fldChar w:fldCharType="end"/>
    </w:r>
  </w:p>
  <w:p w14:paraId="02000000">
    <w:pPr>
      <w:pStyle w:val="Style_2"/>
      <w:spacing w:line="360" w:lineRule="auto"/>
      <w:ind/>
      <w:jc w:val="right"/>
      <w:rPr>
        <w:rFonts w:ascii="Times New Roman" w:hAnsi="Times New Roman"/>
        <w:sz w:val="18"/>
      </w:rPr>
    </w:pPr>
  </w:p>
  <w:tbl>
    <w:tblPr>
      <w:tblStyle w:val="Style_3"/>
      <w:tblBorders>
        <w:top w:color="000000" w:val="nil"/>
        <w:left w:color="000000" w:val="nil"/>
        <w:bottom w:color="000000" w:val="nil"/>
        <w:right w:color="000000" w:val="nil"/>
        <w:insideH w:color="000000" w:val="nil"/>
        <w:insideV w:color="000000" w:val="nil"/>
      </w:tblBorders>
      <w:tblLayout w:type="fixed"/>
    </w:tblPr>
    <w:tblGrid>
      <w:gridCol w:w="6096"/>
      <w:gridCol w:w="1696"/>
      <w:gridCol w:w="1989"/>
    </w:tblGrid>
    <w:tr>
      <w:trPr>
        <w:trHeight w:hRule="atLeast" w:val="698"/>
      </w:trPr>
      <w:tc>
        <w:tcPr>
          <w:tcW w:type="dxa" w:w="6096"/>
          <w:tcBorders>
            <w:top w:color="000000" w:val="nil"/>
            <w:left w:color="000000" w:val="nil"/>
            <w:bottom w:color="000000" w:val="nil"/>
            <w:right w:color="000000" w:val="nil"/>
          </w:tcBorders>
        </w:tcPr>
        <w:p/>
      </w:tc>
      <w:tc>
        <w:tcPr>
          <w:tcW w:type="dxa" w:w="1696"/>
          <w:tcBorders>
            <w:top w:color="000000" w:val="nil"/>
            <w:left w:color="000000" w:val="nil"/>
            <w:bottom w:color="000000" w:val="nil"/>
            <w:right w:color="000000" w:val="nil"/>
          </w:tcBorders>
        </w:tcPr>
        <w:p/>
      </w:tc>
      <w:tc>
        <w:tcPr>
          <w:tcW w:type="dxa" w:w="1989"/>
          <w:tcBorders>
            <w:top w:color="000000" w:val="nil"/>
            <w:left w:color="000000" w:val="nil"/>
            <w:bottom w:color="000000" w:val="nil"/>
            <w:right w:color="000000" w:val="nil"/>
          </w:tcBorders>
        </w:tcPr>
        <w:p/>
      </w:tc>
    </w:tr>
  </w:tbl>
  <w:p w14:paraId="03000000">
    <w:pPr>
      <w:pStyle w:val="Style_2"/>
      <w:ind/>
      <w:jc w:val="right"/>
    </w:pPr>
  </w:p>
</w:ftr>
</file>

<file path=word/footer3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 w14:paraId="04000000"/>
</w:ftr>
</file>

<file path=word/footer5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>
    <w:pPr>
      <w:framePr w:hAnchor="margin" w:vAnchor="text" w:wrap="around" w:xAlign="right" w:y="1"/>
    </w:pPr>
    <w:r>
      <w:fldChar w:fldCharType="begin"/>
    </w:r>
    <w:r>
      <w:instrText xml:space="preserve">PAGE </w:instrText>
    </w:r>
    <w:r>
      <w:fldChar w:fldCharType="separate"/>
    </w:r>
    <w:r>
      <w:fldChar w:fldCharType="end"/>
    </w:r>
  </w:p>
  <w:p w14:paraId="06000000">
    <w:pPr>
      <w:pStyle w:val="Style_2"/>
      <w:ind/>
      <w:jc w:val="right"/>
    </w:pPr>
  </w:p>
</w:ftr>
</file>

<file path=word/footer7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>
    <w:pPr>
      <w:framePr w:hAnchor="margin" w:vAnchor="text" w:wrap="around" w:xAlign="right" w:y="1"/>
    </w:pPr>
    <w:r>
      <w:fldChar w:fldCharType="begin"/>
    </w:r>
    <w:r>
      <w:instrText xml:space="preserve">PAGE </w:instrText>
    </w:r>
    <w:r>
      <w:fldChar w:fldCharType="separate"/>
    </w:r>
    <w:r>
      <w:fldChar w:fldCharType="end"/>
    </w:r>
  </w:p>
  <w:p w14:paraId="08000000">
    <w:pPr>
      <w:pStyle w:val="Style_2"/>
      <w:spacing w:line="360" w:lineRule="auto"/>
      <w:ind/>
      <w:jc w:val="right"/>
      <w:rPr>
        <w:rFonts w:ascii="Times New Roman" w:hAnsi="Times New Roman"/>
        <w:sz w:val="18"/>
      </w:rPr>
    </w:pPr>
  </w:p>
  <w:tbl>
    <w:tblPr>
      <w:tblStyle w:val="Style_3"/>
      <w:tblBorders>
        <w:top w:color="000000" w:val="nil"/>
        <w:left w:color="000000" w:val="nil"/>
        <w:bottom w:color="000000" w:val="nil"/>
        <w:right w:color="000000" w:val="nil"/>
        <w:insideH w:color="000000" w:val="nil"/>
        <w:insideV w:color="000000" w:val="nil"/>
      </w:tblBorders>
      <w:tblLayout w:type="fixed"/>
    </w:tblPr>
    <w:tblGrid>
      <w:gridCol w:w="6096"/>
      <w:gridCol w:w="1696"/>
      <w:gridCol w:w="1989"/>
    </w:tblGrid>
    <w:tr>
      <w:trPr>
        <w:trHeight w:hRule="atLeast" w:val="698"/>
      </w:trPr>
      <w:tc>
        <w:tcPr>
          <w:tcW w:type="dxa" w:w="6096"/>
          <w:tcBorders>
            <w:top w:color="000000" w:val="nil"/>
            <w:left w:color="000000" w:val="nil"/>
            <w:bottom w:color="000000" w:val="nil"/>
            <w:right w:color="000000" w:val="nil"/>
          </w:tcBorders>
        </w:tcPr>
        <w:p w14:paraId="09000000">
          <w:pPr>
            <w:pStyle w:val="Style_2"/>
            <w:spacing w:line="360" w:lineRule="auto"/>
            <w:ind/>
            <w:rPr>
              <w:rFonts w:ascii="Times New Roman" w:hAnsi="Times New Roman"/>
              <w:b w:val="1"/>
              <w:sz w:val="16"/>
            </w:rPr>
          </w:pPr>
          <w:r>
            <w:rPr>
              <w:rFonts w:ascii="Times New Roman" w:hAnsi="Times New Roman"/>
              <w:b w:val="1"/>
              <w:sz w:val="16"/>
            </w:rPr>
            <w:t>ПРОФЕССИОНАЛЫ</w:t>
          </w:r>
        </w:p>
        <w:p w14:paraId="0A000000">
          <w:pPr>
            <w:pStyle w:val="Style_2"/>
            <w:spacing w:line="360" w:lineRule="auto"/>
            <w:ind/>
            <w:rPr>
              <w:rFonts w:ascii="Times New Roman" w:hAnsi="Times New Roman"/>
              <w:b w:val="1"/>
              <w:sz w:val="16"/>
            </w:rPr>
          </w:pPr>
          <w:r>
            <w:rPr>
              <w:rFonts w:ascii="Times New Roman" w:hAnsi="Times New Roman"/>
              <w:b w:val="1"/>
              <w:sz w:val="16"/>
            </w:rPr>
            <w:t xml:space="preserve"> «ОБСЛУЖИВАНИЕ АВИАЦИОННОЙ ТЕХНИКИ»</w:t>
          </w:r>
        </w:p>
        <w:p w14:paraId="0B000000">
          <w:pPr>
            <w:pStyle w:val="Style_2"/>
            <w:spacing w:line="360" w:lineRule="auto"/>
            <w:ind/>
            <w:rPr>
              <w:rFonts w:ascii="Times New Roman" w:hAnsi="Times New Roman"/>
              <w:b w:val="1"/>
              <w:sz w:val="16"/>
            </w:rPr>
          </w:pPr>
          <w:r>
            <w:rPr>
              <w:rFonts w:ascii="Times New Roman" w:hAnsi="Times New Roman"/>
              <w:b w:val="1"/>
              <w:sz w:val="16"/>
            </w:rPr>
            <w:t>МОДУЛЬ Г</w:t>
          </w:r>
        </w:p>
        <w:p w14:paraId="0C000000">
          <w:pPr>
            <w:pStyle w:val="Style_2"/>
            <w:spacing w:line="360" w:lineRule="auto"/>
            <w:ind/>
          </w:pPr>
          <w:r>
            <w:rPr>
              <w:rFonts w:ascii="Times New Roman" w:hAnsi="Times New Roman"/>
              <w:b w:val="1"/>
              <w:sz w:val="16"/>
            </w:rPr>
            <w:t>«</w:t>
          </w:r>
          <w:r>
            <w:rPr>
              <w:rFonts w:ascii="Times New Roman" w:hAnsi="Times New Roman"/>
              <w:b w:val="1"/>
              <w:sz w:val="16"/>
            </w:rPr>
            <w:t>ОБСЛУЖИВАНИЕ МЕХАНИЧЕСКИХ КОМПОНЕНТОВ И СИСТЕМ ВС</w:t>
          </w:r>
        </w:p>
      </w:tc>
      <w:tc>
        <w:tcPr>
          <w:tcW w:type="dxa" w:w="1696"/>
          <w:tcBorders>
            <w:top w:color="000000" w:val="nil"/>
            <w:left w:color="000000" w:val="nil"/>
            <w:bottom w:color="000000" w:val="nil"/>
            <w:right w:color="000000" w:val="nil"/>
          </w:tcBorders>
        </w:tcPr>
        <w:p w14:paraId="0D000000">
          <w:pPr>
            <w:pStyle w:val="Style_2"/>
            <w:spacing w:line="360" w:lineRule="auto"/>
            <w:ind/>
            <w:jc w:val="right"/>
          </w:pPr>
        </w:p>
      </w:tc>
      <w:tc>
        <w:tcPr>
          <w:tcW w:type="dxa" w:w="1989"/>
          <w:tcBorders>
            <w:top w:color="000000" w:val="nil"/>
            <w:left w:color="000000" w:val="nil"/>
            <w:bottom w:color="000000" w:val="nil"/>
            <w:right w:color="000000" w:val="nil"/>
          </w:tcBorders>
        </w:tcPr>
        <w:p w14:paraId="0E000000">
          <w:pPr>
            <w:pStyle w:val="Style_2"/>
            <w:spacing w:line="360" w:lineRule="auto"/>
            <w:ind/>
            <w:jc w:val="right"/>
          </w:pPr>
          <w:r>
            <w:rPr>
              <w:rFonts w:ascii="Times New Roman" w:hAnsi="Times New Roman"/>
              <w:sz w:val="18"/>
            </w:rPr>
            <w:drawing>
              <wp:inline>
                <wp:extent cx="655320" cy="716259"/>
                <wp:effectExtent b="0" l="0" r="0" t="0"/>
                <wp:docPr hidden="false" id="6" name="Picture 6"/>
                <a:graphic>
                  <a:graphicData uri="http://schemas.openxmlformats.org/drawingml/2006/picture">
                    <pic:pic>
                      <pic:nvPicPr>
                        <pic:cNvPr hidden="false" id="5" name="Picture 5"/>
                        <pic:cNvPicPr preferRelativeResize="true"/>
                      </pic:nvPicPr>
                      <pic:blipFill>
                        <a:blip r:embed="rId1"/>
                        <a:stretch/>
                      </pic:blipFill>
                      <pic:spPr>
                        <a:xfrm flipH="false" flipV="false" rot="0">
                          <a:ext cx="655320" cy="716259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</w:tc>
    </w:tr>
  </w:tbl>
  <w:p w14:paraId="0F000000">
    <w:pPr>
      <w:pStyle w:val="Style_2"/>
      <w:ind/>
      <w:jc w:val="right"/>
    </w:pPr>
  </w:p>
</w:ftr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ind w:firstLine="0" w:left="-993"/>
    </w:pPr>
  </w:p>
</w:hdr>
</file>

<file path=word/header4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 w14:paraId="05000000">
    <w:pPr>
      <w:pStyle w:val="Style_1"/>
      <w:ind w:firstLine="0" w:left="-993"/>
    </w:pPr>
    <w:r>
      <w:drawing>
        <wp:anchor allowOverlap="true" behindDoc="false" distB="0" distL="114300" distR="114300" distT="0" layoutInCell="true" locked="false" relativeHeight="251658240" simplePos="false">
          <wp:simplePos x="0" y="0"/>
          <wp:positionH relativeFrom="column">
            <wp:posOffset>-548640</wp:posOffset>
          </wp:positionH>
          <wp:positionV relativeFrom="paragraph">
            <wp:posOffset>157480</wp:posOffset>
          </wp:positionV>
          <wp:extent cx="2774950" cy="1073785"/>
          <wp:effectExtent b="0" l="0" r="0" t="0"/>
          <wp:wrapTopAndBottom distB="0" distT="0"/>
          <wp:docPr hidden="false" id="2" name="Picture 2"/>
          <a:graphic>
            <a:graphicData uri="http://schemas.openxmlformats.org/drawingml/2006/picture">
              <pic:pic>
                <pic:nvPicPr>
                  <pic:cNvPr hidden="false" id="1" name="Picture 1"/>
                  <pic:cNvPicPr preferRelativeResize="true"/>
                </pic:nvPicPr>
                <pic:blipFill>
                  <a:blip r:embed="rId1"/>
                  <a:stretch/>
                </pic:blipFill>
                <pic:spPr>
                  <a:xfrm flipH="false" flipV="false" rot="0">
                    <a:ext cx="2774950" cy="1073785"/>
                  </a:xfrm>
                  <a:prstGeom prst="rect"/>
                </pic:spPr>
              </pic:pic>
            </a:graphicData>
          </a:graphic>
        </wp:anchor>
      </w:drawing>
    </w:r>
  </w:p>
</w:hdr>
</file>

<file path=word/header6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 w14:paraId="07000000">
    <w:pPr>
      <w:pStyle w:val="Style_1"/>
      <w:ind w:firstLine="0" w:left="-993"/>
    </w:pPr>
    <w:r>
      <w:drawing>
        <wp:anchor allowOverlap="true" behindDoc="false" distB="0" distL="114300" distR="114300" distT="0" layoutInCell="true" locked="false" relativeHeight="251658240" simplePos="false">
          <wp:simplePos x="0" y="0"/>
          <wp:positionH relativeFrom="column">
            <wp:posOffset>-548640</wp:posOffset>
          </wp:positionH>
          <wp:positionV relativeFrom="paragraph">
            <wp:posOffset>157480</wp:posOffset>
          </wp:positionV>
          <wp:extent cx="2774950" cy="1073785"/>
          <wp:effectExtent b="0" l="0" r="0" t="0"/>
          <wp:wrapTopAndBottom distB="0" distT="0"/>
          <wp:docPr hidden="false" id="4" name="Picture 4"/>
          <a:graphic>
            <a:graphicData uri="http://schemas.openxmlformats.org/drawingml/2006/picture">
              <pic:pic>
                <pic:nvPicPr>
                  <pic:cNvPr hidden="false" id="3" name="Picture 3"/>
                  <pic:cNvPicPr preferRelativeResize="true"/>
                </pic:nvPicPr>
                <pic:blipFill>
                  <a:blip r:embed="rId1"/>
                  <a:stretch/>
                </pic:blipFill>
                <pic:spPr>
                  <a:xfrm flipH="false" flipV="false" rot="0">
                    <a:ext cx="2774950" cy="1073785"/>
                  </a:xfrm>
                  <a:prstGeom prst="rect"/>
                </pic:spPr>
              </pic:pic>
            </a:graphicData>
          </a:graphic>
        </wp:anchor>
      </w:drawing>
    </w: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ind w:hanging="360" w:left="362"/>
      </w:pPr>
    </w:lvl>
    <w:lvl w:ilvl="1">
      <w:start w:val="1"/>
      <w:numFmt w:val="lowerLetter"/>
      <w:lvlText w:val="%2."/>
      <w:lvlJc w:val="left"/>
      <w:pPr>
        <w:ind w:hanging="360" w:left="1082"/>
      </w:pPr>
    </w:lvl>
    <w:lvl w:ilvl="2">
      <w:start w:val="1"/>
      <w:numFmt w:val="lowerRoman"/>
      <w:lvlText w:val="%3."/>
      <w:lvlJc w:val="right"/>
      <w:pPr>
        <w:ind w:hanging="180" w:left="1802"/>
      </w:pPr>
    </w:lvl>
    <w:lvl w:ilvl="3">
      <w:start w:val="1"/>
      <w:numFmt w:val="decimal"/>
      <w:lvlText w:val="%4."/>
      <w:lvlJc w:val="left"/>
      <w:pPr>
        <w:ind w:hanging="360" w:left="2522"/>
      </w:pPr>
    </w:lvl>
    <w:lvl w:ilvl="4">
      <w:start w:val="1"/>
      <w:numFmt w:val="lowerLetter"/>
      <w:lvlText w:val="%5."/>
      <w:lvlJc w:val="left"/>
      <w:pPr>
        <w:ind w:hanging="360" w:left="3242"/>
      </w:pPr>
    </w:lvl>
    <w:lvl w:ilvl="5">
      <w:start w:val="1"/>
      <w:numFmt w:val="lowerRoman"/>
      <w:lvlText w:val="%6."/>
      <w:lvlJc w:val="right"/>
      <w:pPr>
        <w:ind w:hanging="180" w:left="3962"/>
      </w:pPr>
    </w:lvl>
    <w:lvl w:ilvl="6">
      <w:start w:val="1"/>
      <w:numFmt w:val="decimal"/>
      <w:lvlText w:val="%7."/>
      <w:lvlJc w:val="left"/>
      <w:pPr>
        <w:ind w:hanging="360" w:left="4682"/>
      </w:pPr>
    </w:lvl>
    <w:lvl w:ilvl="7">
      <w:start w:val="1"/>
      <w:numFmt w:val="lowerLetter"/>
      <w:lvlText w:val="%8."/>
      <w:lvlJc w:val="left"/>
      <w:pPr>
        <w:ind w:hanging="360" w:left="5402"/>
      </w:pPr>
    </w:lvl>
    <w:lvl w:ilvl="8">
      <w:start w:val="1"/>
      <w:numFmt w:val="lowerRoman"/>
      <w:lvlText w:val="%9."/>
      <w:lvlJc w:val="right"/>
      <w:pPr>
        <w:ind w:hanging="180" w:left="6122"/>
      </w:pPr>
    </w:lvl>
  </w:abstractNum>
  <w:abstractNum w:abstractNumId="1">
    <w:lvl w:ilvl="0">
      <w:start w:val="1"/>
      <w:numFmt w:val="decimal"/>
      <w:lvlText w:val="%1."/>
      <w:lvlJc w:val="left"/>
      <w:pPr>
        <w:ind w:firstLine="0" w:left="243"/>
      </w:pPr>
      <w:rPr>
        <w:rFonts w:ascii="Times New Roman" w:hAnsi="Times New Roman"/>
        <w:b w:val="0"/>
        <w:i w:val="0"/>
        <w:strike w:val="0"/>
        <w:color w:val="000000"/>
        <w:sz w:val="24"/>
        <w:u w:color="000000" w:val="none"/>
      </w:rPr>
    </w:lvl>
    <w:lvl w:ilvl="1">
      <w:start w:val="1"/>
      <w:numFmt w:val="lowerLetter"/>
      <w:lvlText w:val="%2"/>
      <w:lvlJc w:val="left"/>
      <w:pPr>
        <w:ind w:firstLine="0" w:left="1188"/>
      </w:pPr>
      <w:rPr>
        <w:rFonts w:ascii="Times New Roman" w:hAnsi="Times New Roman"/>
        <w:b w:val="0"/>
        <w:i w:val="0"/>
        <w:strike w:val="0"/>
        <w:color w:val="000000"/>
        <w:sz w:val="24"/>
        <w:u w:color="000000" w:val="none"/>
      </w:rPr>
    </w:lvl>
    <w:lvl w:ilvl="2">
      <w:start w:val="1"/>
      <w:numFmt w:val="lowerRoman"/>
      <w:lvlText w:val="%3"/>
      <w:lvlJc w:val="left"/>
      <w:pPr>
        <w:ind w:firstLine="0" w:left="1908"/>
      </w:pPr>
      <w:rPr>
        <w:rFonts w:ascii="Times New Roman" w:hAnsi="Times New Roman"/>
        <w:b w:val="0"/>
        <w:i w:val="0"/>
        <w:strike w:val="0"/>
        <w:color w:val="000000"/>
        <w:sz w:val="24"/>
        <w:u w:color="000000" w:val="none"/>
      </w:rPr>
    </w:lvl>
    <w:lvl w:ilvl="3">
      <w:start w:val="1"/>
      <w:numFmt w:val="decimal"/>
      <w:lvlText w:val="%4"/>
      <w:lvlJc w:val="left"/>
      <w:pPr>
        <w:ind w:firstLine="0" w:left="2628"/>
      </w:pPr>
      <w:rPr>
        <w:rFonts w:ascii="Times New Roman" w:hAnsi="Times New Roman"/>
        <w:b w:val="0"/>
        <w:i w:val="0"/>
        <w:strike w:val="0"/>
        <w:color w:val="000000"/>
        <w:sz w:val="24"/>
        <w:u w:color="000000" w:val="none"/>
      </w:rPr>
    </w:lvl>
    <w:lvl w:ilvl="4">
      <w:start w:val="1"/>
      <w:numFmt w:val="lowerLetter"/>
      <w:lvlText w:val="%5"/>
      <w:lvlJc w:val="left"/>
      <w:pPr>
        <w:ind w:firstLine="0" w:left="3348"/>
      </w:pPr>
      <w:rPr>
        <w:rFonts w:ascii="Times New Roman" w:hAnsi="Times New Roman"/>
        <w:b w:val="0"/>
        <w:i w:val="0"/>
        <w:strike w:val="0"/>
        <w:color w:val="000000"/>
        <w:sz w:val="24"/>
        <w:u w:color="000000" w:val="none"/>
      </w:rPr>
    </w:lvl>
    <w:lvl w:ilvl="5">
      <w:start w:val="1"/>
      <w:numFmt w:val="lowerRoman"/>
      <w:lvlText w:val="%6"/>
      <w:lvlJc w:val="left"/>
      <w:pPr>
        <w:ind w:firstLine="0" w:left="4068"/>
      </w:pPr>
      <w:rPr>
        <w:rFonts w:ascii="Times New Roman" w:hAnsi="Times New Roman"/>
        <w:b w:val="0"/>
        <w:i w:val="0"/>
        <w:strike w:val="0"/>
        <w:color w:val="000000"/>
        <w:sz w:val="24"/>
        <w:u w:color="000000" w:val="none"/>
      </w:rPr>
    </w:lvl>
    <w:lvl w:ilvl="6">
      <w:start w:val="1"/>
      <w:numFmt w:val="decimal"/>
      <w:lvlText w:val="%7"/>
      <w:lvlJc w:val="left"/>
      <w:pPr>
        <w:ind w:firstLine="0" w:left="4788"/>
      </w:pPr>
      <w:rPr>
        <w:rFonts w:ascii="Times New Roman" w:hAnsi="Times New Roman"/>
        <w:b w:val="0"/>
        <w:i w:val="0"/>
        <w:strike w:val="0"/>
        <w:color w:val="000000"/>
        <w:sz w:val="24"/>
        <w:u w:color="000000" w:val="none"/>
      </w:rPr>
    </w:lvl>
    <w:lvl w:ilvl="7">
      <w:start w:val="1"/>
      <w:numFmt w:val="lowerLetter"/>
      <w:lvlText w:val="%8"/>
      <w:lvlJc w:val="left"/>
      <w:pPr>
        <w:ind w:firstLine="0" w:left="5508"/>
      </w:pPr>
      <w:rPr>
        <w:rFonts w:ascii="Times New Roman" w:hAnsi="Times New Roman"/>
        <w:b w:val="0"/>
        <w:i w:val="0"/>
        <w:strike w:val="0"/>
        <w:color w:val="000000"/>
        <w:sz w:val="24"/>
        <w:u w:color="000000" w:val="none"/>
      </w:rPr>
    </w:lvl>
    <w:lvl w:ilvl="8">
      <w:start w:val="1"/>
      <w:numFmt w:val="lowerRoman"/>
      <w:lvlText w:val="%9"/>
      <w:lvlJc w:val="left"/>
      <w:pPr>
        <w:ind w:firstLine="0" w:left="6228"/>
      </w:pPr>
      <w:rPr>
        <w:rFonts w:ascii="Times New Roman" w:hAnsi="Times New Roman"/>
        <w:b w:val="0"/>
        <w:i w:val="0"/>
        <w:strike w:val="0"/>
        <w:color w:val="000000"/>
        <w:sz w:val="24"/>
        <w:u w:color="000000"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6" w:type="paragraph">
    <w:name w:val="Normal"/>
    <w:link w:val="Style_6_ch"/>
    <w:uiPriority w:val="0"/>
    <w:qFormat/>
  </w:style>
  <w:style w:default="1" w:styleId="Style_6_ch" w:type="character">
    <w:name w:val="Normal"/>
    <w:link w:val="Style_6"/>
  </w:style>
  <w:style w:styleId="Style_7" w:type="paragraph">
    <w:name w:val="toc 2"/>
    <w:next w:val="Style_6"/>
    <w:link w:val="Style_7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7_ch" w:type="character">
    <w:name w:val="toc 2"/>
    <w:link w:val="Style_7"/>
    <w:rPr>
      <w:rFonts w:ascii="XO Thames" w:hAnsi="XO Thames"/>
      <w:sz w:val="28"/>
    </w:rPr>
  </w:style>
  <w:style w:styleId="Style_8" w:type="paragraph">
    <w:name w:val="toc 4"/>
    <w:next w:val="Style_6"/>
    <w:link w:val="Style_8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8_ch" w:type="character">
    <w:name w:val="toc 4"/>
    <w:link w:val="Style_8"/>
    <w:rPr>
      <w:rFonts w:ascii="XO Thames" w:hAnsi="XO Thames"/>
      <w:sz w:val="28"/>
    </w:rPr>
  </w:style>
  <w:style w:styleId="Style_9" w:type="paragraph">
    <w:name w:val="List Paragraph"/>
    <w:basedOn w:val="Style_6"/>
    <w:link w:val="Style_9_ch"/>
    <w:pPr>
      <w:ind w:firstLine="0" w:left="720"/>
      <w:contextualSpacing w:val="1"/>
    </w:pPr>
  </w:style>
  <w:style w:styleId="Style_9_ch" w:type="character">
    <w:name w:val="List Paragraph"/>
    <w:basedOn w:val="Style_6_ch"/>
    <w:link w:val="Style_9"/>
  </w:style>
  <w:style w:styleId="Style_10" w:type="paragraph">
    <w:name w:val="toc 6"/>
    <w:next w:val="Style_6"/>
    <w:link w:val="Style_10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0_ch" w:type="character">
    <w:name w:val="toc 6"/>
    <w:link w:val="Style_10"/>
    <w:rPr>
      <w:rFonts w:ascii="XO Thames" w:hAnsi="XO Thames"/>
      <w:sz w:val="28"/>
    </w:rPr>
  </w:style>
  <w:style w:styleId="Style_11" w:type="paragraph">
    <w:name w:val="toc 7"/>
    <w:next w:val="Style_6"/>
    <w:link w:val="Style_11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1_ch" w:type="character">
    <w:name w:val="toc 7"/>
    <w:link w:val="Style_11"/>
    <w:rPr>
      <w:rFonts w:ascii="XO Thames" w:hAnsi="XO Thames"/>
      <w:sz w:val="28"/>
    </w:rPr>
  </w:style>
  <w:style w:styleId="Style_12" w:type="paragraph">
    <w:name w:val="Default"/>
    <w:link w:val="Style_12_ch"/>
    <w:pPr>
      <w:spacing w:after="0" w:line="240" w:lineRule="auto"/>
      <w:ind/>
    </w:pPr>
    <w:rPr>
      <w:rFonts w:ascii="Times New Roman" w:hAnsi="Times New Roman"/>
      <w:color w:val="000000"/>
      <w:sz w:val="24"/>
    </w:rPr>
  </w:style>
  <w:style w:styleId="Style_12_ch" w:type="character">
    <w:name w:val="Default"/>
    <w:link w:val="Style_12"/>
    <w:rPr>
      <w:rFonts w:ascii="Times New Roman" w:hAnsi="Times New Roman"/>
      <w:color w:val="000000"/>
      <w:sz w:val="24"/>
    </w:rPr>
  </w:style>
  <w:style w:styleId="Style_13" w:type="paragraph">
    <w:name w:val="Balloon Text"/>
    <w:basedOn w:val="Style_6"/>
    <w:link w:val="Style_13_ch"/>
    <w:pPr>
      <w:spacing w:after="0" w:line="240" w:lineRule="auto"/>
      <w:ind/>
    </w:pPr>
    <w:rPr>
      <w:rFonts w:ascii="Segoe UI" w:hAnsi="Segoe UI"/>
      <w:sz w:val="18"/>
    </w:rPr>
  </w:style>
  <w:style w:styleId="Style_13_ch" w:type="character">
    <w:name w:val="Balloon Text"/>
    <w:basedOn w:val="Style_6_ch"/>
    <w:link w:val="Style_13"/>
    <w:rPr>
      <w:rFonts w:ascii="Segoe UI" w:hAnsi="Segoe UI"/>
      <w:sz w:val="18"/>
    </w:rPr>
  </w:style>
  <w:style w:styleId="Style_14" w:type="paragraph">
    <w:name w:val="heading 3"/>
    <w:next w:val="Style_6"/>
    <w:link w:val="Style_14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4_ch" w:type="character">
    <w:name w:val="heading 3"/>
    <w:link w:val="Style_14"/>
    <w:rPr>
      <w:rFonts w:ascii="XO Thames" w:hAnsi="XO Thames"/>
      <w:b w:val="1"/>
      <w:sz w:val="26"/>
    </w:rPr>
  </w:style>
  <w:style w:styleId="Style_15" w:type="paragraph">
    <w:name w:val="annotation reference"/>
    <w:basedOn w:val="Style_16"/>
    <w:link w:val="Style_15_ch"/>
    <w:rPr>
      <w:sz w:val="16"/>
    </w:rPr>
  </w:style>
  <w:style w:styleId="Style_15_ch" w:type="character">
    <w:name w:val="annotation reference"/>
    <w:basedOn w:val="Style_16_ch"/>
    <w:link w:val="Style_15"/>
    <w:rPr>
      <w:sz w:val="16"/>
    </w:rPr>
  </w:style>
  <w:style w:styleId="Style_17" w:type="paragraph">
    <w:name w:val="toc 3"/>
    <w:next w:val="Style_6"/>
    <w:link w:val="Style_17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7_ch" w:type="character">
    <w:name w:val="toc 3"/>
    <w:link w:val="Style_17"/>
    <w:rPr>
      <w:rFonts w:ascii="XO Thames" w:hAnsi="XO Thames"/>
      <w:sz w:val="28"/>
    </w:rPr>
  </w:style>
  <w:style w:styleId="Style_18" w:type="paragraph">
    <w:name w:val="heading 5"/>
    <w:next w:val="Style_6"/>
    <w:link w:val="Style_18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8_ch" w:type="character">
    <w:name w:val="heading 5"/>
    <w:link w:val="Style_18"/>
    <w:rPr>
      <w:rFonts w:ascii="XO Thames" w:hAnsi="XO Thames"/>
      <w:b w:val="1"/>
      <w:sz w:val="22"/>
    </w:rPr>
  </w:style>
  <w:style w:styleId="Style_19" w:type="paragraph">
    <w:name w:val="heading 1"/>
    <w:next w:val="Style_6"/>
    <w:link w:val="Style_19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9_ch" w:type="character">
    <w:name w:val="heading 1"/>
    <w:link w:val="Style_19"/>
    <w:rPr>
      <w:rFonts w:ascii="XO Thames" w:hAnsi="XO Thames"/>
      <w:b w:val="1"/>
      <w:sz w:val="32"/>
    </w:rPr>
  </w:style>
  <w:style w:styleId="Style_16" w:type="paragraph">
    <w:name w:val="Default Paragraph Font"/>
    <w:link w:val="Style_16_ch"/>
  </w:style>
  <w:style w:styleId="Style_16_ch" w:type="character">
    <w:name w:val="Default Paragraph Font"/>
    <w:link w:val="Style_16"/>
  </w:style>
  <w:style w:styleId="Style_20" w:type="paragraph">
    <w:name w:val="Hyperlink"/>
    <w:link w:val="Style_20_ch"/>
    <w:rPr>
      <w:color w:val="0000FF"/>
      <w:u w:val="single"/>
    </w:rPr>
  </w:style>
  <w:style w:styleId="Style_20_ch" w:type="character">
    <w:name w:val="Hyperlink"/>
    <w:link w:val="Style_20"/>
    <w:rPr>
      <w:color w:val="0000FF"/>
      <w:u w:val="single"/>
    </w:rPr>
  </w:style>
  <w:style w:styleId="Style_21" w:type="paragraph">
    <w:name w:val="Footnote"/>
    <w:link w:val="Style_21_ch"/>
    <w:pPr>
      <w:ind w:firstLine="851" w:left="0"/>
      <w:jc w:val="both"/>
    </w:pPr>
    <w:rPr>
      <w:rFonts w:ascii="XO Thames" w:hAnsi="XO Thames"/>
      <w:sz w:val="22"/>
    </w:rPr>
  </w:style>
  <w:style w:styleId="Style_21_ch" w:type="character">
    <w:name w:val="Footnote"/>
    <w:link w:val="Style_21"/>
    <w:rPr>
      <w:rFonts w:ascii="XO Thames" w:hAnsi="XO Thames"/>
      <w:sz w:val="22"/>
    </w:rPr>
  </w:style>
  <w:style w:styleId="Style_22" w:type="paragraph">
    <w:name w:val="toc 1"/>
    <w:next w:val="Style_6"/>
    <w:link w:val="Style_22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2_ch" w:type="character">
    <w:name w:val="toc 1"/>
    <w:link w:val="Style_22"/>
    <w:rPr>
      <w:rFonts w:ascii="XO Thames" w:hAnsi="XO Thames"/>
      <w:b w:val="1"/>
      <w:sz w:val="28"/>
    </w:rPr>
  </w:style>
  <w:style w:styleId="Style_23" w:type="paragraph">
    <w:name w:val="Header and Footer"/>
    <w:link w:val="Style_23_ch"/>
    <w:pPr>
      <w:spacing w:line="240" w:lineRule="auto"/>
      <w:ind/>
      <w:jc w:val="both"/>
    </w:pPr>
    <w:rPr>
      <w:rFonts w:ascii="XO Thames" w:hAnsi="XO Thames"/>
      <w:sz w:val="20"/>
    </w:rPr>
  </w:style>
  <w:style w:styleId="Style_23_ch" w:type="character">
    <w:name w:val="Header and Footer"/>
    <w:link w:val="Style_23"/>
    <w:rPr>
      <w:rFonts w:ascii="XO Thames" w:hAnsi="XO Thames"/>
      <w:sz w:val="20"/>
    </w:rPr>
  </w:style>
  <w:style w:styleId="Style_24" w:type="paragraph">
    <w:name w:val="toc 9"/>
    <w:next w:val="Style_6"/>
    <w:link w:val="Style_24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4_ch" w:type="character">
    <w:name w:val="toc 9"/>
    <w:link w:val="Style_24"/>
    <w:rPr>
      <w:rFonts w:ascii="XO Thames" w:hAnsi="XO Thames"/>
      <w:sz w:val="28"/>
    </w:rPr>
  </w:style>
  <w:style w:styleId="Style_25" w:type="paragraph">
    <w:name w:val="annotation text"/>
    <w:basedOn w:val="Style_6"/>
    <w:link w:val="Style_25_ch"/>
    <w:pPr>
      <w:spacing w:line="240" w:lineRule="auto"/>
      <w:ind/>
    </w:pPr>
    <w:rPr>
      <w:sz w:val="20"/>
    </w:rPr>
  </w:style>
  <w:style w:styleId="Style_25_ch" w:type="character">
    <w:name w:val="annotation text"/>
    <w:basedOn w:val="Style_6_ch"/>
    <w:link w:val="Style_25"/>
    <w:rPr>
      <w:sz w:val="20"/>
    </w:rPr>
  </w:style>
  <w:style w:styleId="Style_26" w:type="paragraph">
    <w:name w:val="toc 8"/>
    <w:next w:val="Style_6"/>
    <w:link w:val="Style_2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6_ch" w:type="character">
    <w:name w:val="toc 8"/>
    <w:link w:val="Style_26"/>
    <w:rPr>
      <w:rFonts w:ascii="XO Thames" w:hAnsi="XO Thames"/>
      <w:sz w:val="28"/>
    </w:rPr>
  </w:style>
  <w:style w:styleId="Style_1" w:type="paragraph">
    <w:name w:val="header"/>
    <w:basedOn w:val="Style_6"/>
    <w:link w:val="Style_1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_ch" w:type="character">
    <w:name w:val="header"/>
    <w:basedOn w:val="Style_6_ch"/>
    <w:link w:val="Style_1"/>
  </w:style>
  <w:style w:styleId="Style_27" w:type="paragraph">
    <w:name w:val="toc 5"/>
    <w:next w:val="Style_6"/>
    <w:link w:val="Style_2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7_ch" w:type="character">
    <w:name w:val="toc 5"/>
    <w:link w:val="Style_27"/>
    <w:rPr>
      <w:rFonts w:ascii="XO Thames" w:hAnsi="XO Thames"/>
      <w:sz w:val="28"/>
    </w:rPr>
  </w:style>
  <w:style w:styleId="Style_28" w:type="paragraph">
    <w:name w:val="annotation subject"/>
    <w:basedOn w:val="Style_25"/>
    <w:next w:val="Style_25"/>
    <w:link w:val="Style_28_ch"/>
    <w:rPr>
      <w:b w:val="1"/>
    </w:rPr>
  </w:style>
  <w:style w:styleId="Style_28_ch" w:type="character">
    <w:name w:val="annotation subject"/>
    <w:basedOn w:val="Style_25_ch"/>
    <w:link w:val="Style_28"/>
    <w:rPr>
      <w:b w:val="1"/>
    </w:rPr>
  </w:style>
  <w:style w:styleId="Style_2" w:type="paragraph">
    <w:name w:val="footer"/>
    <w:basedOn w:val="Style_6"/>
    <w:link w:val="Style_2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2_ch" w:type="character">
    <w:name w:val="footer"/>
    <w:basedOn w:val="Style_6_ch"/>
    <w:link w:val="Style_2"/>
  </w:style>
  <w:style w:styleId="Style_29" w:type="paragraph">
    <w:name w:val="Subtitle"/>
    <w:next w:val="Style_6"/>
    <w:link w:val="Style_2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9_ch" w:type="character">
    <w:name w:val="Subtitle"/>
    <w:link w:val="Style_29"/>
    <w:rPr>
      <w:rFonts w:ascii="XO Thames" w:hAnsi="XO Thames"/>
      <w:i w:val="1"/>
      <w:sz w:val="24"/>
    </w:rPr>
  </w:style>
  <w:style w:styleId="Style_30" w:type="paragraph">
    <w:name w:val="Title"/>
    <w:next w:val="Style_6"/>
    <w:link w:val="Style_30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0_ch" w:type="character">
    <w:name w:val="Title"/>
    <w:link w:val="Style_30"/>
    <w:rPr>
      <w:rFonts w:ascii="XO Thames" w:hAnsi="XO Thames"/>
      <w:b w:val="1"/>
      <w:caps w:val="1"/>
      <w:sz w:val="40"/>
    </w:rPr>
  </w:style>
  <w:style w:styleId="Style_31" w:type="paragraph">
    <w:name w:val="heading 4"/>
    <w:next w:val="Style_6"/>
    <w:link w:val="Style_3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1_ch" w:type="character">
    <w:name w:val="heading 4"/>
    <w:link w:val="Style_31"/>
    <w:rPr>
      <w:rFonts w:ascii="XO Thames" w:hAnsi="XO Thames"/>
      <w:b w:val="1"/>
      <w:sz w:val="24"/>
    </w:rPr>
  </w:style>
  <w:style w:styleId="Style_32" w:type="paragraph">
    <w:name w:val="heading 2"/>
    <w:next w:val="Style_6"/>
    <w:link w:val="Style_32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2_ch" w:type="character">
    <w:name w:val="heading 2"/>
    <w:link w:val="Style_32"/>
    <w:rPr>
      <w:rFonts w:ascii="XO Thames" w:hAnsi="XO Thames"/>
      <w:b w:val="1"/>
      <w:sz w:val="28"/>
    </w:rPr>
  </w:style>
  <w:style w:styleId="Style_3" w:type="table">
    <w:name w:val="Table Grid"/>
    <w:basedOn w:val="Style_33"/>
    <w:pPr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3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5" w:type="table">
    <w:name w:val="TableGrid11"/>
    <w:pPr>
      <w:spacing w:after="0" w:line="240" w:lineRule="auto"/>
      <w:ind/>
    </w:pPr>
    <w:tblPr>
      <w:tblCellMar>
        <w:top w:type="dxa" w:w="0"/>
        <w:left w:type="dxa" w:w="0"/>
        <w:bottom w:type="dxa" w:w="0"/>
        <w:right w:type="dxa" w:w="0"/>
      </w:tblCellMar>
    </w:tblPr>
  </w:style>
  <w:style w:styleId="Style_4" w:type="table">
    <w:name w:val="TableGrid2"/>
    <w:pPr>
      <w:spacing w:after="0" w:line="240" w:lineRule="auto"/>
      <w:ind/>
    </w:pPr>
    <w:tblPr>
      <w:tblCellMar>
        <w:top w:type="dxa" w:w="0"/>
        <w:left w:type="dxa" w:w="0"/>
        <w:bottom w:type="dxa" w:w="0"/>
        <w:right w:type="dxa" w:w="0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13" Target="theme/theme1.xml" Type="http://schemas.openxmlformats.org/officeDocument/2006/relationships/theme"/>
  <Relationship Id="rId11" Target="stylesWithEffects.xml" Type="http://schemas.microsoft.com/office/2007/relationships/stylesWithEffects"/>
  <Relationship Id="rId10" Target="styles.xml" Type="http://schemas.openxmlformats.org/officeDocument/2006/relationships/styles"/>
  <Relationship Id="rId9" Target="settings.xml" Type="http://schemas.openxmlformats.org/officeDocument/2006/relationships/settings"/>
  <Relationship Id="rId8" Target="fontTable.xml" Type="http://schemas.openxmlformats.org/officeDocument/2006/relationships/fontTable"/>
  <Relationship Id="rId7" Target="footer7.xml" Type="http://schemas.openxmlformats.org/officeDocument/2006/relationships/footer"/>
  <Relationship Id="rId14" Target="numbering.xml" Type="http://schemas.openxmlformats.org/officeDocument/2006/relationships/numbering"/>
  <Relationship Id="rId6" Target="header6.xml" Type="http://schemas.openxmlformats.org/officeDocument/2006/relationships/header"/>
  <Relationship Id="rId5" Target="footer5.xml" Type="http://schemas.openxmlformats.org/officeDocument/2006/relationships/footer"/>
  <Relationship Id="rId4" Target="header4.xml" Type="http://schemas.openxmlformats.org/officeDocument/2006/relationships/header"/>
  <Relationship Id="rId12" Target="webSettings.xml" Type="http://schemas.openxmlformats.org/officeDocument/2006/relationships/webSettings"/>
  <Relationship Id="rId3" Target="footer3.xml" Type="http://schemas.openxmlformats.org/officeDocument/2006/relationships/footer"/>
  <Relationship Id="rId2" Target="footer2.xml" Type="http://schemas.openxmlformats.org/officeDocument/2006/relationships/footer"/>
  <Relationship Id="rId1" Target="header1.xml" Type="http://schemas.openxmlformats.org/officeDocument/2006/relationships/header"/>
</Relationships>

</file>

<file path=word/_rels/footer7.xml.rels><?xml version="1.0" encoding="UTF-8" standalone="no" ?>
<Relationships xmlns="http://schemas.openxmlformats.org/package/2006/relationships">
  <Relationship Id="rId1" Target="media/2.png" Type="http://schemas.openxmlformats.org/officeDocument/2006/relationships/image"/>
</Relationships>

</file>

<file path=word/_rels/header4.xml.rels><?xml version="1.0" encoding="UTF-8" standalone="no" ?>
<Relationships xmlns="http://schemas.openxmlformats.org/package/2006/relationships">
  <Relationship Id="rId1" Target="media/1.png" Type="http://schemas.openxmlformats.org/officeDocument/2006/relationships/image"/>
</Relationships>

</file>

<file path=word/_rels/header6.xml.rels><?xml version="1.0" encoding="UTF-8" standalone="no" ?>
<Relationships xmlns="http://schemas.openxmlformats.org/package/2006/relationships">
  <Relationship Id="rId1" Target="media/1.png" Type="http://schemas.openxmlformats.org/officeDocument/2006/relationships/imag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2024-06-13T14:50:35Z</dcterms:modified>
</cp:coreProperties>
</file>